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C05D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C05D5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AC05D5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 dla terenu położonego w rejonie Placu Jana w Bytomiu</w:t>
      </w:r>
    </w:p>
    <w:p w:rsidR="00A77B3E" w:rsidRDefault="00AC05D5">
      <w:pPr>
        <w:keepLines/>
        <w:spacing w:before="120" w:after="120" w:line="276" w:lineRule="auto"/>
        <w:ind w:firstLine="227"/>
      </w:pPr>
      <w:r>
        <w:t xml:space="preserve">Na podstawie art. 18 ust. 2 pkt 5, </w:t>
      </w:r>
      <w:r>
        <w:t xml:space="preserve">art. 40 ust. 1 i art. 41 ust. 1 ustawy z dnia 8 marca 1990 r. o samorządzie gminnym (Dz. U. z 2024 r. poz. 1465, z późn. zm.) oraz art. 3 ust. 1, art. 20 ust. 1 ustawy z dnia 27 marca 2003 r. o planowaniu i zagospodarowaniu przestrzennym (Dz. U. z 2024 r. </w:t>
      </w:r>
      <w:r>
        <w:t>poz. 1130, z późn. zm.), w związku z art. 67 ust. 3 ustawy z dnia 7 lipca 2023 r. o zmianie ustawy o planowaniu i zagospodarowaniu przestrzennym oraz niektórych innych ustaw (Dz. U. z 2023 r. poz. 1688) oraz w związku z uchwałą nr VIII/119/15 Rady Miejskie</w:t>
      </w:r>
      <w:r>
        <w:t>j w Bytomiu z dnia 27 kwietnia 2015 r. w sprawie przystąpienia do sporządzenia miejscowego planu zagospodarowania przestrzennego dla terenu położonego w rejonie Placu Jana w Bytomiu stwierdza się, że miejscowy plan zagospodarowania przestrzennego dla teren</w:t>
      </w:r>
      <w:r>
        <w:t>u położonego w rejonie Placu Jana w Bytomiu nie narusza ustaleń „Studium uwarunkowań i kierunków zagospodarowania przestrzennego Gminy Bytom” przyjętego uchwałą nr XVI/204/11 Rady Miejskiej w Bytomiu z dnia 24 sierpnia 2011 r., z późn. zm. i uchwala się, c</w:t>
      </w:r>
      <w:r>
        <w:t>o następuje:</w:t>
      </w:r>
    </w:p>
    <w:p w:rsidR="00A77B3E" w:rsidRDefault="00AC05D5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AC05D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dla terenu położonego w rejonie Placu Jana w Bytomiu, zwany dalej „planem”, składają się ustalenia zawarte w treści niniejszej uchwały wraz z następującymi załą</w:t>
      </w:r>
      <w:r>
        <w:t>cznikami:</w:t>
      </w:r>
    </w:p>
    <w:p w:rsidR="00A77B3E" w:rsidRDefault="00AC05D5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 kopii mapy zasadniczej w skali 1:1000;</w:t>
      </w:r>
    </w:p>
    <w:p w:rsidR="00A77B3E" w:rsidRDefault="00AC05D5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 projektu planu;</w:t>
      </w:r>
    </w:p>
    <w:p w:rsidR="00A77B3E" w:rsidRDefault="00AC05D5">
      <w:pPr>
        <w:spacing w:before="120" w:after="120" w:line="276" w:lineRule="auto"/>
        <w:ind w:left="340" w:hanging="227"/>
      </w:pPr>
      <w:r>
        <w:t>3) </w:t>
      </w:r>
      <w:r>
        <w:t xml:space="preserve">załącznik nr </w:t>
      </w:r>
      <w:r>
        <w:t>3 – rozstrzygnięcie o sposobie realizacji, zapisanych w planie inwestycji z zakresu infrastruktury technicznej, które należą do zadań własnych gminy oraz zasadach ich finansowania, zgodnie z przepisami o finansach publicznych;</w:t>
      </w:r>
    </w:p>
    <w:p w:rsidR="00A77B3E" w:rsidRDefault="00AC05D5">
      <w:pPr>
        <w:spacing w:before="120" w:after="120" w:line="276" w:lineRule="auto"/>
        <w:ind w:left="340" w:hanging="227"/>
      </w:pPr>
      <w:r>
        <w:t>4) </w:t>
      </w:r>
      <w:r>
        <w:t>załącznik nr 4 – dane prze</w:t>
      </w:r>
      <w:r>
        <w:t>strzenne dla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Rozdział 2 – Zasady ochrony i kształtowania ładu </w:t>
      </w:r>
      <w:r>
        <w:rPr>
          <w:color w:val="000000"/>
          <w:u w:color="000000"/>
        </w:rPr>
        <w:t>przestrzennego;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 kulturowego;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Rozdział 4 – Zasady ochrony dziedzictwa kulturowego i zabytków oraz dóbr kultury współczesnej;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Rozdział 5 – Wymagania wynikające z potrzeb kształtowania prz</w:t>
      </w:r>
      <w:r>
        <w:rPr>
          <w:color w:val="000000"/>
          <w:u w:color="000000"/>
        </w:rPr>
        <w:t>estrzeni publicznych;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Ustalenia dotyczące granic i sposobów zagospodarowania terenów lub obiektów podlegających ochronie, ustalonych na podstawie odrębnych przepisów, w tym terenów górniczych, a także obszarów szczególnego zagrożenia powodz</w:t>
      </w:r>
      <w:r>
        <w:rPr>
          <w:color w:val="000000"/>
          <w:u w:color="000000"/>
        </w:rPr>
        <w:t>ią oraz obszarów osuwania się mas ziemnych;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Szczegółowe zasady i warunki scalania i podziału nieruchomości objętych planem miejscowym, w tym parametry działek uzyskiwanych w wyniku scalania i podziału nieruchomości;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Rozdział 8 – </w:t>
      </w:r>
      <w:r>
        <w:rPr>
          <w:color w:val="000000"/>
          <w:u w:color="000000"/>
        </w:rPr>
        <w:t>Szczególne warunki zagospodarowania terenów oraz ograniczenia w ich użytkowaniu, w tym zakaz zabudowy;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Zasady modernizacji, rozbudowy i budowy systemów komunikacji i infrastruktury technicznej;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Sposób i termin tymczasowego</w:t>
      </w:r>
      <w:r>
        <w:rPr>
          <w:color w:val="000000"/>
          <w:u w:color="000000"/>
        </w:rPr>
        <w:t xml:space="preserve"> zagospodarowania, urządzania i użytkowania terenów;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Stawki procentowe, na podstawie których ustala się opłatę, o której mowa w art. 36 ust. 4 ustawy o planowaniu i zagospodarowaniu przestrzennym;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Ustalenia szczegółowe d</w:t>
      </w:r>
      <w:r>
        <w:rPr>
          <w:color w:val="000000"/>
          <w:u w:color="000000"/>
        </w:rPr>
        <w:t>la terenów o różnym przeznaczeniu lub różnych zasadach zagospodarowania;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Przepisy końcowe.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planem;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linie rozgraniczające tereny </w:t>
      </w:r>
      <w:r>
        <w:rPr>
          <w:color w:val="000000"/>
          <w:u w:color="000000"/>
        </w:rPr>
        <w:t>o różnym przeznaczeniu lub różnych zasadach zagospodarowania;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symbole cyfrowo-literowe określające przeznaczenie terenów wyznaczonych liniami rozgraniczającymi: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MN – teren zabudowy mieszkaniowej jednorodzinnej,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MU – teren zabudowy mieszkaniowo-usł</w:t>
      </w:r>
      <w:r>
        <w:rPr>
          <w:color w:val="000000"/>
          <w:u w:color="000000"/>
        </w:rPr>
        <w:t>ugowej,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 – teren zabudowy usługowej,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KS – teren obsługi komunikacji samochodowej,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ZL – teren lasów,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ZN – teren zieleni nieurządzonej,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ZP – teren zieleni 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KDG – teren drogi publicznej klasy głównej,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 xml:space="preserve">KDZ – teren drogi </w:t>
      </w:r>
      <w:r>
        <w:rPr>
          <w:color w:val="000000"/>
          <w:u w:color="000000"/>
        </w:rPr>
        <w:t>publicznej klasy zbiorczej,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j) </w:t>
      </w:r>
      <w:r>
        <w:rPr>
          <w:color w:val="000000"/>
          <w:u w:color="000000"/>
        </w:rPr>
        <w:t>KDL – teren drogi publicznej klasy lokalnej,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KDD – teren drogi publicznej klasy dojazdowej,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KDW – teren drogi wewnętrznej,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KDX – teren publicznego ciągu pieszo-jezdnego,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KX – teren publicznego ciągu pieszego;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oznaczone literą „e”;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obowiązujące linie zabudowy;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budynek o wartościach kulturowych wraz z numerem porządkowym, ujęty w gminnej ewidencji zabytków;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obiekt małej architektury o wa</w:t>
      </w:r>
      <w:r>
        <w:rPr>
          <w:color w:val="000000"/>
          <w:u w:color="000000"/>
        </w:rPr>
        <w:t>rtościach kulturowych wraz z numerem porządkowym – krucyfiks, ujęty w gminnej ewidencji zabytków;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obiekt budowlany o wartościach kulturowych – transformator, ujęty w gminnej ewidencji zabytków;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obiekt budowlany o wartościach kulturowych – wieża ciśn</w:t>
      </w:r>
      <w:r>
        <w:rPr>
          <w:color w:val="000000"/>
          <w:u w:color="000000"/>
        </w:rPr>
        <w:t>ień, ujęty w gminnej ewidencji zabytków;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pas technologiczny od linii elektroenergetycznej 220 kV relacji Blachownia-Łagisza.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Rysunek planu zawiera następujące oznaczenia lub informacje wynikające z przepisów odrębnych: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cały obszar planu znajduje </w:t>
      </w:r>
      <w:r>
        <w:rPr>
          <w:color w:val="000000"/>
          <w:u w:color="000000"/>
        </w:rPr>
        <w:t>się w granicach Głównego Zbiornika Wód Podziemnych GZWP nr 330 Gliwice wraz z ustanowionym obszarem ochronnym;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i obszar Specjalnego Obszaru Ochrony Siedlisk Natura 2000 „Podziemia Tarnogórsko-Bytomskie”;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strefy w odległości 50,0 m i 150,0 m o</w:t>
      </w:r>
      <w:r>
        <w:rPr>
          <w:color w:val="000000"/>
          <w:u w:color="000000"/>
        </w:rPr>
        <w:t>d granicy istniejącego cmentarza;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archeologiczne wraz z numerem porządkowym.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</w:t>
      </w:r>
      <w:r>
        <w:rPr>
          <w:color w:val="000000"/>
          <w:u w:color="000000"/>
        </w:rPr>
        <w:t>ziałek ewidencyjnych;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zlikwidowane szyby i szybiki;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orientacyjny zasięg zakończonej płytkiej eksploatacji rudnej;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orientacyjny zasięg płytkich wód gruntowych o głębokości do 1,0 m p. p. t.;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granica strefy buforowej od obszaru wpisanego na listę</w:t>
      </w:r>
      <w:r>
        <w:rPr>
          <w:color w:val="000000"/>
          <w:u w:color="000000"/>
        </w:rPr>
        <w:t xml:space="preserve"> UNESCO;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linia elektroenergetyczna 220 kV relacji Blachownia-Łagisza;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główna projektowana ścieżka rowerowa.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dachu płaskim – należy przez to rozumieć dach o kącie nachylenia </w:t>
      </w:r>
      <w:r>
        <w:rPr>
          <w:color w:val="000000"/>
          <w:u w:color="000000"/>
        </w:rPr>
        <w:t>połaci dachowych w stosunku do płaszczyzny poziomej nie większym niż 12°;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drobnej wytwórczości – należy przez to rozumieć pozarolniczą działalność gospodarczą, wytwarzającą dobra lub usługi na skalę lokalną, obejmującą w szczególności następujące podgru</w:t>
      </w:r>
      <w:r>
        <w:rPr>
          <w:color w:val="000000"/>
          <w:u w:color="000000"/>
        </w:rPr>
        <w:t>py działalności: rzemiosło, chałupnictwo, wytwórczość ludową i artystyczną, a także cukiernie, piekarnie itp.;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działce budowlanej – należy przez to rozumieć działkę, o której mowa w ustawie z dnia 27 marca 2003 r. o planowaniu i zagospodarowaniu przestr</w:t>
      </w:r>
      <w:r>
        <w:rPr>
          <w:color w:val="000000"/>
          <w:u w:color="000000"/>
        </w:rPr>
        <w:t>zennym;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elementach wyposażenia miejskiego – należy przez to rozumieć elementy zagospodarowania, takie jak: siedziska, ławki, zegary uliczne, latarnie, lampy oświetleniowe, stojaki rowerowe, pergole, barierki uliczne, słupki i ograniczniki parkowania na </w:t>
      </w:r>
      <w:r>
        <w:rPr>
          <w:color w:val="000000"/>
          <w:u w:color="000000"/>
        </w:rPr>
        <w:t>chodnikach, donice, słupy informacyjno-ogłoszeniowe, wykorzystywane przez władze miasta do promocji miasta i informowania mieszkańców o ważnych dla miasta wydarzeniach oraz elementy Systemu Identyfikacji Miejskiej;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elementach architektury parkowej – nal</w:t>
      </w:r>
      <w:r>
        <w:rPr>
          <w:color w:val="000000"/>
          <w:u w:color="000000"/>
        </w:rPr>
        <w:t>eży przez to rozumieć małą architekturę, altany, ozdobne oświetlenie, fontanny, rzeźby, pomniki, ogólnodostępne place zabaw dla dzieci z wyposażeniem;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garażu zbiorowym – należy przez to rozumieć zespół garaży jednokondygnacyjnych o jednolitej formie arc</w:t>
      </w:r>
      <w:r>
        <w:rPr>
          <w:color w:val="000000"/>
          <w:u w:color="000000"/>
        </w:rPr>
        <w:t>hitektonicznej, zapewniający minimum 5 stanowisk postojowych;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handlu wielkopowierzchniowym – należy przez to rozumieć handel wielkopowierzchniowy, o którym mowa w ustawie z dnia 27 marca 2003 r. o planowaniu i zagospodarowaniu przestrzennym;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istnieją</w:t>
      </w:r>
      <w:r>
        <w:rPr>
          <w:color w:val="000000"/>
          <w:u w:color="000000"/>
        </w:rPr>
        <w:t>cej zabudowie – należy przez to rozumieć zabudowę wzniesioną przed dniem wejścia w życie planu lub taką, dla której do dnia wejścia w życie planu została wydana prawomocna decyzja o pozwoleniu na budowę;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nieprzekraczalnej linii zabudowy – należy przez t</w:t>
      </w:r>
      <w:r>
        <w:rPr>
          <w:color w:val="000000"/>
          <w:u w:color="000000"/>
        </w:rPr>
        <w:t>o rozumieć wyznaczoną na rysunku planu linię ograniczającą część terenu, w obrębie którego możliwe jest wznoszenie: nadziemnych części budynków, budowli nadziemnych spełniających funkcje użytkowe budynków, przy czym dopuszczalne jest wysunięcie poza wyznac</w:t>
      </w:r>
      <w:r>
        <w:rPr>
          <w:color w:val="000000"/>
          <w:u w:color="000000"/>
        </w:rPr>
        <w:t>zoną linię zabudowy, na odległość nie większą niż 1,3 m, elementów nadwieszeń takich jak: nieobudowane balkony, daszki nad wejściami do budynków, gzymsy, wykusze i inne elementy wystroju architektonicznego elewacji, a także, jeśli ustalenia planu nie stano</w:t>
      </w:r>
      <w:r>
        <w:rPr>
          <w:color w:val="000000"/>
          <w:u w:color="000000"/>
        </w:rPr>
        <w:t>wią inaczej, elementy wejść do budynku oraz grubości docieplenia w przypadku istniejącego budynku; nieprzekraczalna linia zabudowy nie dotyczy podziemnych części budynków;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obowiązującej linii zabudowy – należy przez to rozumieć linię zabudowy, na które</w:t>
      </w:r>
      <w:r>
        <w:rPr>
          <w:color w:val="000000"/>
          <w:u w:color="000000"/>
        </w:rPr>
        <w:t xml:space="preserve">j należy usytuować ścianę frontową: budynku, budowli nadziemnych spełniających funkcje użytkowe budynków, lub co najmniej 70% długości i powierzchni tej ściany, bez prawa jej przekraczania w kierunku linii rozgraniczających ulicy. Nie dotyczy to elementów </w:t>
      </w:r>
      <w:r>
        <w:rPr>
          <w:color w:val="000000"/>
          <w:u w:color="000000"/>
        </w:rPr>
        <w:t xml:space="preserve">architektonicznych takich jak: nieobudowane balkony, daszki nad wejściami do budynków, gzymsy, wykusze i inne elementy wystroju architektonicznego elewacji, okap </w:t>
      </w:r>
      <w:r>
        <w:rPr>
          <w:color w:val="000000"/>
          <w:u w:color="000000"/>
        </w:rPr>
        <w:lastRenderedPageBreak/>
        <w:t>dachu, oraz schody zewnętrzne, podjazdy, dla których ustala się, iż ich obrys może przekraczać</w:t>
      </w:r>
      <w:r>
        <w:rPr>
          <w:color w:val="000000"/>
          <w:u w:color="000000"/>
        </w:rPr>
        <w:t xml:space="preserve"> obowiązującą linię zabudowy o nie więcej niż 1,3 m; obowiązująca linia zabudowy nie dotyczy podziemnych części budynków;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obszarze – należy przez to rozumieć cały obszar objęty niniejszym planem;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parametrach i wskaźnikach zabudowy i zagospodarowani</w:t>
      </w:r>
      <w:r>
        <w:rPr>
          <w:color w:val="000000"/>
          <w:u w:color="000000"/>
        </w:rPr>
        <w:t>a: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minimalnym wskaźniku powierzchni biologicznie czynnej – należy przez to rozumieć minimalny udział procentowy powierzchni biologicznie czynnej, o którym mowa w ustawie z dnia 27 marca 2003 r. o planowaniu i zagospodarowaniu przestrzennym,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</w:t>
      </w:r>
      <w:r>
        <w:rPr>
          <w:color w:val="000000"/>
          <w:u w:color="000000"/>
        </w:rPr>
        <w:t xml:space="preserve"> intensywności zabudowy – należy przez to rozumieć nadziemną intensywność zabudowy, o której mowa w ustawie z dnia 27 marca 2003 r. o planowaniu i zagospodarowaniu przestrzennym,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maksymalnym wskaźniku powierzchni zabudowy – należy przez to rozumieć maks</w:t>
      </w:r>
      <w:r>
        <w:rPr>
          <w:color w:val="000000"/>
          <w:u w:color="000000"/>
        </w:rPr>
        <w:t>ymalny udział procentowy powierzchni zabudowy, o którym mowa w ustawie z dnia 27 marca 2003 r. o planowaniu i zagospodarowaniu przestrzennym,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rozumieć wysokość zabudowy, o której mowa w ustawie z dnia 27 marca 2003 r</w:t>
      </w:r>
      <w:r>
        <w:rPr>
          <w:color w:val="000000"/>
          <w:u w:color="000000"/>
        </w:rPr>
        <w:t>. o planowaniu i zagospodarowaniu przestrzennym;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parkingu terenowym – należy przez to rozumieć miejsce lub zgrupowanie miejsc parkingowych dla pojazdów, określone w ustaleniach szczegółowych, opierające się na gruncie lub stropie garażu podziemnego i n</w:t>
      </w:r>
      <w:r>
        <w:rPr>
          <w:color w:val="000000"/>
          <w:u w:color="000000"/>
        </w:rPr>
        <w:t>iebędące elementem pasa drogowego;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przepisach odrębnych lub przywołanych w ustaleniach planu ustawach i rozporządzeniach – należy przez to rozumieć odpowiednie, obowiązujące na dzień uchwalenia niniejszego planu, przepisy ustaw wraz z ich aktami wykona</w:t>
      </w:r>
      <w:r>
        <w:rPr>
          <w:color w:val="000000"/>
          <w:u w:color="000000"/>
        </w:rPr>
        <w:t>wczymi;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stylistycznie elementów informacyjnych ułatwiających orientację w przestrzeni miasta, składający się z element</w:t>
      </w:r>
      <w:r>
        <w:rPr>
          <w:color w:val="000000"/>
          <w:u w:color="000000"/>
        </w:rPr>
        <w:t>ów takich jak: tablice z nazwami ulic i ich nośniki, tablice kierujące do istotnych punktów miasta (np. muzea, szpitale itp.), nośniki z planem miasta lub dzielnicy, nośniki informacji o istotnych elementach krajobrazu miejskiego (tj. obiekcie, patronie dr</w:t>
      </w:r>
      <w:r>
        <w:rPr>
          <w:color w:val="000000"/>
          <w:u w:color="000000"/>
        </w:rPr>
        <w:t>ogi itp.);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przeznaczeniu: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podstawowym – należy przez to rozumieć ustalony planem przeważający sposób zagospodarowania i zabudowy powierzchni działki budowlanej w granicach terenu wyznaczonego liniami rozgraniczającymi,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uzupełniającym – należy prz</w:t>
      </w:r>
      <w:r>
        <w:rPr>
          <w:color w:val="000000"/>
          <w:u w:color="000000"/>
        </w:rPr>
        <w:t>ez to rozumieć ustalony planem uzupełniający przeznaczenie podstawowe sposób zagospodarowania i zabudowy, którego udział wynosi nie więcej niż 49% powierzchni działki budowlanej w granicach terenu wyznaczonego liniami rozgraniczającymi lub może być określo</w:t>
      </w:r>
      <w:r>
        <w:rPr>
          <w:color w:val="000000"/>
          <w:u w:color="000000"/>
        </w:rPr>
        <w:t>ny w ustaleniach szczegółowych;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17) </w:t>
      </w:r>
      <w:r>
        <w:rPr>
          <w:color w:val="000000"/>
          <w:u w:color="000000"/>
        </w:rPr>
        <w:t>terenie – należy przez to rozumieć fragment obszaru planu o ustalonym przeznaczeniu i zasadach zagospodarowania, wyznaczony na rysunku planu liniami rozgraniczającymi i oznaczony symbolem cyfrowo-literowym służącym ident</w:t>
      </w:r>
      <w:r>
        <w:rPr>
          <w:color w:val="000000"/>
          <w:u w:color="000000"/>
        </w:rPr>
        <w:t>yfikacji ustaleń w tekście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 xml:space="preserve">usługach – należy przez to rozumieć działalność służącą zaspokajaniu potrzeb ludności, niezwiązaną z wytwarzaniem dóbr materialnych, obejmującą w szczególności następujące podgrupy usług: usługi administracji, usługi </w:t>
      </w:r>
      <w:r>
        <w:rPr>
          <w:color w:val="000000"/>
          <w:u w:color="000000"/>
        </w:rPr>
        <w:t>biurowe, usługi gastronomii, usługi handlu, usługi związane z edukacją, kulturą, usługi sportu, gabinety lekarskie, gabinety terapeutyczne, salony fryzjerskie, salony kosmetyczne, z wykluczeniem: obiektów handlowych o powierzchni sprzedaży większej niż 2 0</w:t>
      </w:r>
      <w:r>
        <w:rPr>
          <w:color w:val="000000"/>
          <w:u w:color="000000"/>
        </w:rPr>
        <w:t>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usług związanych z handlem pojazdami lub obsługą pojazdów oraz przy uwzględnieniu ustaleń szczegółowych;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zieleni izolacyjnej – należy przez to rozumieć odporną na zanieczyszczenia roślinność o przeważającym składzie gatunków drzew i krzewów, któ</w:t>
      </w:r>
      <w:r>
        <w:rPr>
          <w:color w:val="000000"/>
          <w:u w:color="000000"/>
        </w:rPr>
        <w:t>rych dojrzałe formy osiągają wysokość nie mniejszą niż 2,0 m, ukształtowaną w taki sposób, aby spełniać funkcje całorocznej przesłony wizualnej oraz bariery przed zanieczyszczeniami i hałasem;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zieleni nieurządzonej – należy przez to rozumieć ukształtow</w:t>
      </w:r>
      <w:r>
        <w:rPr>
          <w:color w:val="000000"/>
          <w:u w:color="000000"/>
        </w:rPr>
        <w:t>ane w sposób niezaplanowany zespoły zieleni składające się z drzew, krzewów i zieleni niskiej;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zieleni urządzonej – należy przez to rozumieć ukształtowane w sposób zaplanowany zespoły roślinności składające się z drzew, krzewów i zieleni niskiej wraz z</w:t>
      </w:r>
      <w:r>
        <w:rPr>
          <w:color w:val="000000"/>
          <w:u w:color="000000"/>
        </w:rPr>
        <w:t> obiektami małej architektury, oczkami wodnymi, urządzeniami rekreacyjnymi oraz ciągami pieszymi i ścieżkami rowerowymi.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Zasady </w:t>
      </w:r>
      <w:r>
        <w:rPr>
          <w:b/>
          <w:color w:val="000000"/>
          <w:u w:color="000000"/>
        </w:rPr>
        <w:t>ochrony i kształtowania ładu przestrzennego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Zasady zagospodarowania terenów: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stosowania blachy trapezowej lub listew z tworzyw sztucznych do wykończenia elewacji budynków;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elementów zagosp</w:t>
      </w:r>
      <w:r>
        <w:rPr>
          <w:color w:val="000000"/>
          <w:u w:color="000000"/>
        </w:rPr>
        <w:t>odarowania takich jak: infrastruktura techniczna, urządzenia budowlane, urządzenia sportowo-rekreacyjne, dojazdy, ciągi piesze, pieszo-jezdne i ścieżki rowerowe, zieleń urządzona, zieleń izolacyjna, obiekty małej architektury, elementy Systemu Identyfikacj</w:t>
      </w:r>
      <w:r>
        <w:rPr>
          <w:color w:val="000000"/>
          <w:u w:color="000000"/>
        </w:rPr>
        <w:t>i Miejskiej oraz elementy wyposażenia miejskiego, z zachowaniem pozostałych ustaleń planu oraz z uwzględnieniem przepisów odrębnych;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na całym obszarze planu realizacji inwestycji celu publicznego z zakresu łączności publicznej, z uwzględnie</w:t>
      </w:r>
      <w:r>
        <w:rPr>
          <w:color w:val="000000"/>
          <w:u w:color="000000"/>
        </w:rPr>
        <w:t>niem przepisów Rozdziału 12;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dopuszczenie na całym obszarze planu sytuowania budynków na działce budowlanej w odległości 1,5 m od granicy działki lub bezpośrednio przy tej granicy, z zachowaniem pozostałych ustaleń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oznaczone na rysunku planu n</w:t>
      </w:r>
      <w:r>
        <w:rPr>
          <w:color w:val="000000"/>
          <w:u w:color="000000"/>
        </w:rPr>
        <w:t>ieprzekraczalne i obowiązujące linie zabudowy nie dotyczą związanych z infrastrukturą techniczną i telekomunikacyjną: budynków, budowli, obiektów i urządzeń.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Nakaz zachowania wartościowej, urbanistycznej kompozycji funkcjonalno-przestrzennej zespołu osi</w:t>
      </w:r>
      <w:r>
        <w:rPr>
          <w:color w:val="000000"/>
          <w:u w:color="000000"/>
        </w:rPr>
        <w:t>edla bliźniaczych domów jednorodzinnych z ogrodami „Wolność” w Stolarzowicach, w układzie osi promienistych związanych dwoma placami – obejmujący Plac Jana, ulice: Witolda Gombrowicza, Jerzego Ossolińskiego, Mieszka I, Bronisława Czecha (od ul. Tadeusza Ko</w:t>
      </w:r>
      <w:r>
        <w:rPr>
          <w:color w:val="000000"/>
          <w:u w:color="000000"/>
        </w:rPr>
        <w:t>ściuszki do Placu Jana), Konstantego Damrota, Jana Wróbla, Krzyżowa Góra, Ksawerego Dunikowskiego – w tym: przebieg ulic, układ zieleni urządzonej, charakter zabudowy, na zasadach określonych w niniejszym planie.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</w:t>
      </w:r>
      <w:r>
        <w:rPr>
          <w:b/>
          <w:color w:val="000000"/>
          <w:u w:color="000000"/>
        </w:rPr>
        <w:t>rody i krajobrazu kulturowego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 zdrowia ludzi, a w szczególności przedsięwzięć mogących spowodować ryzyko wystąpienia poważnych awarii;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Ministrów z dnia 10 września 2019 r. w sprawie przedsięwzięć mogących znacząco oddziaływać na środowisko – z w</w:t>
      </w:r>
      <w:r>
        <w:rPr>
          <w:color w:val="000000"/>
          <w:u w:color="000000"/>
        </w:rPr>
        <w:t>yłączeniem przedsięwzięć związanych z realizacją i remontami: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infrastruktury technicznej,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inwestycji celu publicznego z zakresu łączności publicznej,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podziemnego wydobycia kopalin,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poszukiwania i rozpoznawania złóż kopalin,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poszukiwania i rozpoznawania wód podziemnych,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instalacji do podziemnego lub naziemnego magazynowania lub ich dystrybucji, wyłącznie na terenie oznaczonym symbolem 1U:</w:t>
      </w:r>
    </w:p>
    <w:p w:rsidR="00A77B3E" w:rsidRDefault="00AC05D5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ropy naftowej,</w:t>
      </w:r>
    </w:p>
    <w:p w:rsidR="00A77B3E" w:rsidRDefault="00AC05D5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produktów naftowych,</w:t>
      </w:r>
    </w:p>
    <w:p w:rsidR="00A77B3E" w:rsidRDefault="00AC05D5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gazów łatwopalnych,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 xml:space="preserve">zmiany lasu, </w:t>
      </w:r>
      <w:r>
        <w:rPr>
          <w:color w:val="000000"/>
          <w:u w:color="000000"/>
        </w:rPr>
        <w:t>innego gruntu o zwartej powierzchni co najmniej 0,10 ha pokrytego roślinnością leśną – drzewami i krzewami oraz runem leśnym – lub nieużytku na użytek rolny lub wylesienie mające na celu zmianę sposobu użytkowania terenu lub wylesienia mającego na celu zmi</w:t>
      </w:r>
      <w:r>
        <w:rPr>
          <w:color w:val="000000"/>
          <w:u w:color="000000"/>
        </w:rPr>
        <w:t>anę sposobu użytkowania terenu, wyłącznie na terenach oznaczonych symbolami: 1KDL, 1KDZ i 4KDD,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zabudowy mieszkaniowej wraz z towarzyszącą jej infrastrukturą;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chowu i hodowli zwierząt gospodarskich;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zasięg oddziaływania na środowisko działal</w:t>
      </w:r>
      <w:r>
        <w:rPr>
          <w:color w:val="000000"/>
          <w:u w:color="000000"/>
        </w:rPr>
        <w:t>ności prowadzonej na poszczególnych terenach nie może przekraczać granicy nieruchomości, do której prowadzący działalność posiada tytuł prawny.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wskazuje się tereny należące do poszczególnych rodzajów terenów, dla któ</w:t>
      </w:r>
      <w:r>
        <w:rPr>
          <w:color w:val="000000"/>
          <w:u w:color="000000"/>
        </w:rPr>
        <w:t>rych określono dopuszczalne poziomy hałasu, zgodnie z ustawą z dnia 27 kwietnia 2001 r. Prawo ochrony środowiska: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tereny oznaczone symbolami: 1MN, 2MN, 3MN, 4MN, 5MN, 6MN, 7MN, 8MN, 9MN, 10MN, 11MN, 12MN, 13MN, 14MN, 15MN, 16MN, 17MN, 18MN, 19MN, 20MN, </w:t>
      </w:r>
      <w:r>
        <w:rPr>
          <w:color w:val="000000"/>
          <w:u w:color="000000"/>
        </w:rPr>
        <w:t>21MN, 22MN, 23MN, 24MN, 25MN, 26MN, 27MN, 28MN, 29MN, 30MN, 31MN, 32MN, 33MN, 34MN, 35MN, 36MN, 37MN, 38MN, 39MN i 40MN, na których obowiązują poziomy hałasu jak dla terenów przeznaczonych pod zabudowę mieszkaniową jednorodzinną,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oznaczone symbol</w:t>
      </w:r>
      <w:r>
        <w:rPr>
          <w:color w:val="000000"/>
          <w:u w:color="000000"/>
        </w:rPr>
        <w:t>ami: 1MU, 3MU, 4MU, 5MU, 6MU i 8MU, na których obowiązują poziomy hałasu jak dla terenów przeznaczonych na cele mieszkaniowo-usługowe,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tereny oznaczone symbolami: 2MU i 9MU, na których obowiązują poziomy hałasu jak dla terenów przeznaczonych pod domy op</w:t>
      </w:r>
      <w:r>
        <w:rPr>
          <w:color w:val="000000"/>
          <w:u w:color="000000"/>
        </w:rPr>
        <w:t>ieki społecznej,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tereny oznaczone symbolami: 2U i 7MU, na których obowiązują poziomy hałasu jak dla terenów przeznaczonych pod budynki związane ze stałym lub czasowym pobytem dzieci i młodzieży i domy pomocy społecznej,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tereny oznaczone symbolami: 1Z</w:t>
      </w:r>
      <w:r>
        <w:rPr>
          <w:color w:val="000000"/>
          <w:u w:color="000000"/>
        </w:rPr>
        <w:t>P, 2ZP i 3ZP, na których obowiązują poziomy hałasu jak dla terenów przeznaczonych na cele rekreacyjno-wypoczynkowe;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nakaz stosowania zabezpieczeń akustycznych od ponadnormatywnego oddziaływania akustycznego – od istniejących ciągów komunikacyjnych oraz </w:t>
      </w:r>
      <w:r>
        <w:rPr>
          <w:color w:val="000000"/>
          <w:u w:color="000000"/>
        </w:rPr>
        <w:t>przy realizacji nowej i przebudowie istniejącej zabudowy wymagającej ochrony przed hałasem – zgodnie z rozporządzeniem Ministra Infrastruktury z dnia 12 kwietnia 2002 r. w sprawie warunków technicznych, jakim powinny odpowiadać budynki i ich usytuowanie.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</w:t>
      </w:r>
      <w:r>
        <w:t>. </w:t>
      </w:r>
      <w:r>
        <w:rPr>
          <w:color w:val="000000"/>
          <w:u w:color="000000"/>
        </w:rPr>
        <w:t xml:space="preserve">W zakresie ochrony przed promieniowaniem elektromagnetycznym ustala się, że poziom pól elektromagnetycznych w środowisku nie może przekraczać dopuszczalnych wartości określonych zgodnie z ustawą z dnia 27 kwietnia 2001 r. Prawo ochrony środowiska, przy </w:t>
      </w:r>
      <w:r>
        <w:rPr>
          <w:color w:val="000000"/>
          <w:u w:color="000000"/>
        </w:rPr>
        <w:t>czym: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terenów oznaczonych na rysunku planu symbolami: 1MN, 2MN, 3MN, 4MN, 5MN, 6MN, 7MN, 8MN, 9MN, 10MN, 11MN, 12MN, 13MN, 14MN, 15MN, 16MN, 17MN, 18MN, 19MN, 20MN, 21MN, 22MN, 23MN, 24MN, 25MN, 26MN, 27MN, 28MN, 29MN, 30MN, 31MN, 32MN, 33MN, 34MN, </w:t>
      </w:r>
      <w:r>
        <w:rPr>
          <w:color w:val="000000"/>
          <w:u w:color="000000"/>
        </w:rPr>
        <w:t>35MN, 36MN, 37MN, 38MN, 39MN, 40MN, 1MU, 2MU, 3MU, 4MU, 5MU, 6MU, 7MU, 8MU, 9MU, 1U, 2U i 3U obowiązują dopuszczalne poziomy pól elektromagnetycznych jak dla terenów przeznaczonych pod zabudowę mieszkaniową;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na obszarz</w:t>
      </w:r>
      <w:r>
        <w:rPr>
          <w:color w:val="000000"/>
          <w:u w:color="000000"/>
        </w:rPr>
        <w:t>e objętym planem obowiązują dopuszczalne poziomy pól elektromagnetycznych jak dla miejsc dostępnych dla ludności.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nakaz zapobiegania powstawaniu emisji i ograniczania wprowadzanych do powietrza substancji zgodnie z ustaw</w:t>
      </w:r>
      <w:r>
        <w:rPr>
          <w:color w:val="000000"/>
          <w:u w:color="000000"/>
        </w:rPr>
        <w:t>ą z dnia 27 kwietnia 2001 r. Prawo ochrony środowiska;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surowców i materiałów pylących.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zachowania ciągłości systemu melioracji;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przypadku naruszenia istniejących </w:t>
      </w:r>
      <w:r>
        <w:rPr>
          <w:color w:val="000000"/>
          <w:u w:color="000000"/>
        </w:rPr>
        <w:t>urządzeń wodnych i melioracyjnych, tj. rowów otwartych oraz drenażu, nakaz przebudowy tych urządzeń lub budowy nowych;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opóźniania spływu wód opadowych i roztopowych do odbiorników poprzez ich retencjonowanie we własnym zakresie w obrębie działki;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realizacji obiektów w sposób niepowodujący zmiany stosunków wodnych na obszarze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nakaz zachowania istniejących cieków wodnych wraz z towarzyszącymi zadrzewieni</w:t>
      </w:r>
      <w:r>
        <w:rPr>
          <w:color w:val="000000"/>
          <w:u w:color="000000"/>
        </w:rPr>
        <w:t>ami i roślinnością w naturalnej formie;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zakaz realizacji inwestycji mogących prowadzić do zanieczyszczenia wód podziemnych i wód powierzchniowych;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ze względu na położenie obszaru planu w granicach Głównego Zbiornika Wód Podziemnych GZWP nr 330 Gliwic</w:t>
      </w:r>
      <w:r>
        <w:rPr>
          <w:color w:val="000000"/>
          <w:u w:color="000000"/>
        </w:rPr>
        <w:t>e wraz z ustanowionym obszarem ochronnym, obowiązują działania zawarte w rozporządzeniu Wojewody Śląskiego z dnia 25 września 2023 r. w sprawie ustanowienia obszaru ochronnego Głównego Zbiornika Wód Podziemnych nr 330 – Zbiornik Gliwice.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</w:t>
      </w:r>
      <w:r>
        <w:rPr>
          <w:color w:val="000000"/>
          <w:u w:color="000000"/>
        </w:rPr>
        <w:t>ępowania z odpadami: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odpadów komunalnych przy zastosowaniu osłon oraz zabezpieczeń przed infiltracją wód opadowych;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 zbier</w:t>
      </w:r>
      <w:r>
        <w:rPr>
          <w:color w:val="000000"/>
          <w:u w:color="000000"/>
        </w:rPr>
        <w:t>aniu i przetwarzaniu odpadów, w tym surowców wtórnych, złomu i pojazdów wycofanych z eksploatacji, przy czym przez przetwarzanie odpadów należy rozumieć także składowanie odpadów, z zastrzeżeniem pkt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dla działalności prowadzonych na tere</w:t>
      </w:r>
      <w:r>
        <w:rPr>
          <w:color w:val="000000"/>
          <w:u w:color="000000"/>
        </w:rPr>
        <w:t>nach objętych planem, magazynowania odpadów powstałych w wyniku tej działalności, wyłącznie w budynkach lub zadaszonych wiatach.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</w:t>
      </w:r>
      <w:r>
        <w:rPr>
          <w:color w:val="000000"/>
          <w:u w:color="000000"/>
        </w:rPr>
        <w:t>ia zielenią urządzoną powierzchni niezabudowanych lub nieutwardzonych;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materiałów bezpośrednio na powierzchni gruntu bez zabezpieczenia powierzchni przed infiltracją wód opadowych.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W zakresie ochrony przyrody: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północ</w:t>
      </w:r>
      <w:r>
        <w:rPr>
          <w:color w:val="000000"/>
          <w:u w:color="000000"/>
        </w:rPr>
        <w:t>na i zachodnia część obszaru planu położona jest w granicach Specjalnego Obszaru Ochrony Siedlisk Natura 2000 „Podziemia Tarnogórsko–Bytomskie” o symbolu PLH240003, zatwierdzonego decyzją Komisji Europejskiej 2008/25/WE z dnia 13 listopada 2007 r.;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dla </w:t>
      </w:r>
      <w:r>
        <w:rPr>
          <w:color w:val="000000"/>
          <w:u w:color="000000"/>
        </w:rPr>
        <w:t>obszaru, o którym mowa w pkt 1 obowiązują działania zawarte w planie zadań ochronnych – zarządzenie Regionalnego Dyrektora Ochrony Środowiska w Katowicach z dnia 24 kwietnia 2014 r. w sprawie ustanowienia planu zadań ochronnych dla obszaru Natura 2000 Podz</w:t>
      </w:r>
      <w:r>
        <w:rPr>
          <w:color w:val="000000"/>
          <w:u w:color="000000"/>
        </w:rPr>
        <w:t>iemia Tarnogórsko-Bytomskie PLH240003, zmienione zarządzeniem Regionalnego Dyrektora Ochrony Środowiska w Katowicach z dnia 18 maja 2015 r. o zmianie zarządzenia w sprawie ustanowienia planu zadań ochronnych dla obszaru Natura 2000 Podziemia Tarnogórsko-By</w:t>
      </w:r>
      <w:r>
        <w:rPr>
          <w:color w:val="000000"/>
          <w:u w:color="000000"/>
        </w:rPr>
        <w:t>tomskie PLH240003 oraz zmienione zarządzeniem Regionalnego Dyrektora Ochrony Środowiska w Katowicach z dnia 20 lipca 2023 r. o zmianie zarządzenia w sprawie ustanowienia planu zadań ochronnych dla obszaru Natura 2000 Podziemia Tarnogórsko-Bytomskie PLH2400</w:t>
      </w:r>
      <w:r>
        <w:rPr>
          <w:color w:val="000000"/>
          <w:u w:color="000000"/>
        </w:rPr>
        <w:t>03.</w:t>
      </w:r>
    </w:p>
    <w:p w:rsidR="00A77B3E" w:rsidRDefault="00AC05D5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 oraz dóbr kultury współczesnej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Na obszarze planu nie ustala się zasad ochrony dóbr kultury współczesnej.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Na obszarze planu ustanawia się ochronę budynków, obiektu małej </w:t>
      </w:r>
      <w:r>
        <w:rPr>
          <w:color w:val="000000"/>
          <w:u w:color="000000"/>
        </w:rPr>
        <w:t>architektury i obiektów budowlanych o wartościach kulturowych, ujętych w gminnej ewidencji zabytków, oznaczonych na rysunku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Ochronie, o której mowa w ust. 2 podlegają następujące budynki: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6"/>
        <w:gridCol w:w="2160"/>
        <w:gridCol w:w="2656"/>
        <w:gridCol w:w="1875"/>
        <w:gridCol w:w="1965"/>
      </w:tblGrid>
      <w:tr w:rsidR="00960A24">
        <w:trPr>
          <w:trHeight w:val="371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Numer porządkowy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Adres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Opis obiektu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Styl obiektu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Czas </w:t>
            </w:r>
            <w:r>
              <w:rPr>
                <w:sz w:val="22"/>
              </w:rPr>
              <w:t>powstania</w:t>
            </w:r>
          </w:p>
        </w:tc>
      </w:tr>
      <w:tr w:rsidR="00960A24">
        <w:trPr>
          <w:trHeight w:val="615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Plac Jana 13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dom dziecka w zespole osiedla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modernizm późny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 połowa lat 30. XX w.</w:t>
            </w:r>
          </w:p>
        </w:tc>
      </w:tr>
      <w:tr w:rsidR="00960A24">
        <w:trPr>
          <w:trHeight w:val="615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Bronisława Czecha 34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przedszkole w zespole osiedla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modernizm późny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 połowa lat 30. XX w.</w:t>
            </w:r>
          </w:p>
        </w:tc>
      </w:tr>
      <w:tr w:rsidR="00960A24">
        <w:trPr>
          <w:trHeight w:val="615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Bronisława Czecha 33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dawna biblioteka w zespole osiedla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modernizm późny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 połowa lat 30. XX w.</w:t>
            </w:r>
          </w:p>
        </w:tc>
      </w:tr>
      <w:tr w:rsidR="00960A24">
        <w:trPr>
          <w:trHeight w:val="615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Jerzego Ossolińskiego 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zespół os. „Wolność”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funkcjonalizm, modernizm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lata 30. / 40. XX w.</w:t>
            </w:r>
          </w:p>
        </w:tc>
      </w:tr>
      <w:tr w:rsidR="00960A24">
        <w:trPr>
          <w:trHeight w:val="615"/>
        </w:trPr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Jerzego Ossolińskiego 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zespół os. „Wolność”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funkcjonalizm, modernizm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lata 30. / 40. XX w.</w:t>
            </w:r>
          </w:p>
        </w:tc>
      </w:tr>
    </w:tbl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</w:t>
      </w:r>
      <w:r>
        <w:rPr>
          <w:color w:val="000000"/>
          <w:u w:color="000000"/>
        </w:rPr>
        <w:t xml:space="preserve">szczegółowe zasady ochrony: domu dziecka w zespole osiedla położonego przy Placu Jana 13 (oznaczonego numerem 1), przedszkola w zespole osiedla położonego przy ul. Bronisława Czecha 34 (oznaczonego numerem 2), dawnej biblioteki w zespole osiedla położonej </w:t>
      </w:r>
      <w:r>
        <w:rPr>
          <w:color w:val="000000"/>
          <w:u w:color="000000"/>
        </w:rPr>
        <w:t>przy ul. Bronisława Czecha 33 (oznaczonej numer 3):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ochrony skali i formy architektonicznej budynków, kąta nachylenia i kształtu dachu, rozmieszczenia, proporcji i podziałów okien, detali architektonicznych, z zastrzeżeniem lit. b,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budy</w:t>
      </w:r>
      <w:r>
        <w:rPr>
          <w:color w:val="000000"/>
          <w:u w:color="000000"/>
        </w:rPr>
        <w:t>nków oznaczonych numerami 2 i 3  stosowania:</w:t>
      </w:r>
    </w:p>
    <w:p w:rsidR="00A77B3E" w:rsidRDefault="00AC05D5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tynków gruboziarnistych,</w:t>
      </w:r>
    </w:p>
    <w:p w:rsidR="00A77B3E" w:rsidRDefault="00AC05D5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jednolitej, stonowanej kolorystyki elewacji (w kolorze naturalnego tynku) lub kolorystyki wynikającej bezpośrednio z odkrywek kolorystycznych,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dokonywania przekształceń </w:t>
      </w:r>
      <w:r>
        <w:rPr>
          <w:color w:val="000000"/>
          <w:u w:color="000000"/>
        </w:rPr>
        <w:t>budynków powodujących obniżenie ich wartości historycznych,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tynkowania budynków z zastosowaniem tynku w kolorach jaskrawych lub fosforyzujących,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stosowania materiałów typu </w:t>
      </w:r>
      <w:r>
        <w:rPr>
          <w:color w:val="000000"/>
          <w:u w:color="000000"/>
        </w:rPr>
        <w:t>siding, blacha trapezowa i falista, dachówka bitumiczna, blachodachówka, kamień elewacyjny,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umieszczania na elewacjach frontowych budynków, elementów takich jak: anteny, klimatyzatory, przewody natynkowe, panele fotowoltaiczne;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</w:t>
      </w:r>
      <w:r>
        <w:rPr>
          <w:color w:val="000000"/>
          <w:u w:color="000000"/>
        </w:rPr>
        <w:t>udowy, a także zmiany sposobu użytkowania obiektów pod warunkiem, że działania te nie spowodują utraty historycznych cech stylowych obiektów takich jak: kąt nachylenia i kształt dachu, rozmieszczenie, proporcje i podziały okien oraz detale architektoniczne</w:t>
      </w:r>
      <w:r>
        <w:rPr>
          <w:color w:val="000000"/>
          <w:u w:color="000000"/>
        </w:rPr>
        <w:t>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wymiany stolarki okiennej z zachowaniem pierwotnych podziałów,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stosowania rozwiązań, które nie spowodują utraty walorów zabytkowych obiektu i plastyki elewacji,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stosowania – jako pokrycia dachu – wyłącznie dachówki ceramicznej karpiówki układane</w:t>
      </w:r>
      <w:r>
        <w:rPr>
          <w:color w:val="000000"/>
          <w:u w:color="000000"/>
        </w:rPr>
        <w:t>j w podwójną koronkę lub łuskę, w kolorze naturalnego spieku, tj. w odcieniach czerwieni lub brązu,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odtworzenia oryginalnego kształtu otworu drzwiowego, o historycznych proporcjach, dla budynku położonego przy ul. Bronisława Czecha 34.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Dla budynków p</w:t>
      </w:r>
      <w:r>
        <w:rPr>
          <w:color w:val="000000"/>
          <w:u w:color="000000"/>
        </w:rPr>
        <w:t>ołożonych przy ul. Jerzego Ossolińskiego 4 i 2 (oznaczonych numerami: 4 i 5) nie ustala się szczegółowych zasad ochrony, z zastrzeżeniem § 20.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Ochronie, o której mowa w ust. 2, podlegają następujące obiekty małej architektury: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91"/>
        <w:gridCol w:w="3481"/>
        <w:gridCol w:w="2505"/>
        <w:gridCol w:w="2505"/>
      </w:tblGrid>
      <w:tr w:rsidR="00960A24">
        <w:trPr>
          <w:trHeight w:val="360"/>
        </w:trPr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Numer porządkowy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Adres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Opis obiektu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Czas powstania</w:t>
            </w:r>
          </w:p>
        </w:tc>
      </w:tr>
      <w:tr w:rsidR="00960A24"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Witolda Gombrowicza/ ul. Żołnierska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krucyfiks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początek XX w.</w:t>
            </w:r>
          </w:p>
        </w:tc>
      </w:tr>
      <w:tr w:rsidR="00960A24"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2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Plac Jana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krucyfiks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 połowa lat 30. XX w.</w:t>
            </w:r>
          </w:p>
        </w:tc>
      </w:tr>
    </w:tbl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szczegółowe zasady ochrony obiektów małej architektury, o których mowa w ust. 6: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</w:t>
      </w:r>
      <w:r>
        <w:rPr>
          <w:color w:val="000000"/>
          <w:u w:color="000000"/>
        </w:rPr>
        <w:t>utrzymania obiektu w historycznej formie;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obiektu małej architektury oznaczonego numerem 1 – zakaz lokalizowania od strony ul. Witolda Gombrowicza i ul. Żołnierskiej innych obiektów lub zieleni przesłaniającej obiekt chroniony;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dla obiektu małej </w:t>
      </w:r>
      <w:r>
        <w:rPr>
          <w:color w:val="000000"/>
          <w:u w:color="000000"/>
        </w:rPr>
        <w:t>architektury oznaczonego numerem 2 – zakaz lokalizowania od strony Placu Jana, ul. Witolda Gombrowicza i ul. Jerzego Ossolińskiego innych obiektów lub zieleni przesłaniającej obiekt chroniony;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dopuszcza się ich odtworzenie w historycznej formie wynikają</w:t>
      </w:r>
      <w:r>
        <w:rPr>
          <w:color w:val="000000"/>
          <w:u w:color="000000"/>
        </w:rPr>
        <w:t>cej z dokumentacji konserwatorskiej.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Ochronie, o której mowa w ust. 2, podlega obiekt budowlany – transformator, zlokalizowany naprzeciw budynków położonych przy ul. Witolda Gombrowicza 58 i 60 w Bytomiu, dla którego ustala się szczegółowe zasady ochron</w:t>
      </w:r>
      <w:r>
        <w:rPr>
          <w:color w:val="000000"/>
          <w:u w:color="000000"/>
        </w:rPr>
        <w:t>y: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skali i formy architektonicznej obiektu, kąta nachylenia i kształtu dachu;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obiektu powodujących obniżenie jego wartości historycznych,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tynkowania ceglanych elewacji, z zastrzeżeniem pkt 3 lit. </w:t>
      </w:r>
      <w:r>
        <w:rPr>
          <w:color w:val="000000"/>
          <w:u w:color="000000"/>
        </w:rPr>
        <w:t>c;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a także zmiany sposobu użytkowania obiektu pod warunkiem, że działania te nie spowodują utraty historycznych cech stylowych obiektu takich jak: kąt nachylenia i kształt dachu,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stosowania rozwiązań, które nie spowodują </w:t>
      </w:r>
      <w:r>
        <w:rPr>
          <w:color w:val="000000"/>
          <w:u w:color="000000"/>
        </w:rPr>
        <w:t>utraty walorów zabytkowych obiektu i plastyki elewacji,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tynkowania fragmentów elewacji nie pokrytych cegłą, z zachowaniem wykończenia tynkiem gruboziarnistym w kolorze naturalnego tynku,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stosowania – jako pokrycia dachu – wyłącznie dachówki ceramiczn</w:t>
      </w:r>
      <w:r>
        <w:rPr>
          <w:color w:val="000000"/>
          <w:u w:color="000000"/>
        </w:rPr>
        <w:t>ej w kolorze czerwono-brunatnym lub ciemnoszarym,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odtworzenia oryginalnego, historycznego kształtu i rozmieszczenia otworu drzwiowego,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odtworzenia oryginalnej, historycznej elewacji.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Ochronie, o której mowa w ust. 2, podlega obiekt budowlany – </w:t>
      </w:r>
      <w:r>
        <w:rPr>
          <w:color w:val="000000"/>
          <w:u w:color="000000"/>
        </w:rPr>
        <w:t>wieża ciśnień, zlokalizowana pomiędzy budynkami położonymi przy ul. Witolda Gombrowicza 81 w Bytomiu i Placu Jana 23 w Bytomiu, dla której ustala się szczegółowe zasady ochrony: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ochrony skali i formy architektonicznej obiektu, kąta nachylenia </w:t>
      </w:r>
      <w:r>
        <w:rPr>
          <w:color w:val="000000"/>
          <w:u w:color="000000"/>
        </w:rPr>
        <w:t>i kształtu dachu, rozmieszczenia, proporcji i podziałów okien, detali architektonicznych,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istniejącego typu wykończenia obiektu tynkiem w kolorze naturalnym, stonowanym;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obiektu powodujących obniżenie je</w:t>
      </w:r>
      <w:r>
        <w:rPr>
          <w:color w:val="000000"/>
          <w:u w:color="000000"/>
        </w:rPr>
        <w:t>go wartości historycznych, w tym zakaz stosowania materiałów niestosowanych pierwotnie, zmieniających wygląd elewacji,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a także zmiany sposobu użyt</w:t>
      </w:r>
      <w:r>
        <w:rPr>
          <w:color w:val="000000"/>
          <w:u w:color="000000"/>
        </w:rPr>
        <w:t>kowania obiektów pod warunkiem, że działania te nie spowodują utraty historycznych cech stylowych obiektu takich jak: kąt nachylenia i kształt dachu, rozmieszczenie, proporcje i podziały okien oraz detale architektoniczne,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wymiany stolarki okiennej z za</w:t>
      </w:r>
      <w:r>
        <w:rPr>
          <w:color w:val="000000"/>
          <w:u w:color="000000"/>
        </w:rPr>
        <w:t>chowaniem pierwotnych podziałów,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stosowania rozwiązań, które nie spowodują utraty walorów zabytkowych obiektu i plastyki elewacji,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umieszczania na elewacji obiektu elementów takich jak: anteny, klimatyzatory.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Na obszarze planu występują, oznaczo</w:t>
      </w:r>
      <w:r>
        <w:rPr>
          <w:color w:val="000000"/>
          <w:u w:color="000000"/>
        </w:rPr>
        <w:t>ne na rysunku planu, stanowiska archeologiczne, dla których warunki ochrony określa ustawa z dnia 23 lipca 2003 r. o ochronie zabytków i opiece nad zabytkami: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21"/>
        <w:gridCol w:w="2011"/>
        <w:gridCol w:w="1005"/>
        <w:gridCol w:w="1245"/>
        <w:gridCol w:w="1635"/>
        <w:gridCol w:w="1470"/>
        <w:gridCol w:w="1395"/>
      </w:tblGrid>
      <w:tr w:rsidR="00960A24"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porządkowy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Nazwa miejscowości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obszaru AZP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stanowiska na obszarze AZP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Numer </w:t>
            </w:r>
            <w:r>
              <w:rPr>
                <w:sz w:val="20"/>
              </w:rPr>
              <w:t>stanowiska w miejscowości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Rodzaj stanowiska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Chronologia</w:t>
            </w:r>
          </w:p>
        </w:tc>
      </w:tr>
      <w:tr w:rsidR="00960A24"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Bytom-Stolarzowice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95-45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osada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epoka kamienia</w:t>
            </w:r>
          </w:p>
        </w:tc>
      </w:tr>
      <w:tr w:rsidR="00960A24"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Bytom-Stolarzowice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95-45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cmentarzysko szkieletowe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XVI-XVII w.</w:t>
            </w:r>
          </w:p>
        </w:tc>
      </w:tr>
      <w:tr w:rsidR="00960A24"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Bytom-Stolarzowice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95-45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ślad osadnictwa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epoka kamienia</w:t>
            </w:r>
          </w:p>
        </w:tc>
      </w:tr>
      <w:tr w:rsidR="00960A24">
        <w:tc>
          <w:tcPr>
            <w:tcW w:w="132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Bytom-Stolarzowice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95-45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osada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epoka kamienia</w:t>
            </w:r>
          </w:p>
        </w:tc>
      </w:tr>
      <w:tr w:rsidR="00960A24">
        <w:tc>
          <w:tcPr>
            <w:tcW w:w="13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ślad osadnictwa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5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starożytność</w:t>
            </w:r>
          </w:p>
        </w:tc>
      </w:tr>
    </w:tbl>
    <w:p w:rsidR="00A77B3E" w:rsidRDefault="00AC05D5">
      <w:pPr>
        <w:keepNext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Na obszarze planu nie występują obszary przestrzeni publicznych w rozumieniu </w:t>
      </w:r>
      <w:r>
        <w:rPr>
          <w:color w:val="000000"/>
          <w:u w:color="000000"/>
        </w:rPr>
        <w:t>ustawy z dnia 27 marca 2003 r. o planowaniu i zagospodarowaniu przestrzennym, wobec czego nie formułuje się ustaleń dotyczących wymagań wynikających z potrzeb ich kształtowania.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dotyczące granic i sposobów zagospodarowania terenów lub</w:t>
      </w:r>
      <w:r>
        <w:rPr>
          <w:b/>
          <w:color w:val="000000"/>
          <w:u w:color="000000"/>
        </w:rPr>
        <w:t xml:space="preserve"> obiektów podlegających ochronie, ustalonych na podstawie odrębnych przepisów, w tym terenów górniczych, a także obszarów szczególnego zagrożenia powodzią oraz obszarów osuwania się mas ziemnych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Na obszarze planu nie występują udokumentowane złoża</w:t>
      </w:r>
      <w:r>
        <w:rPr>
          <w:color w:val="000000"/>
          <w:u w:color="000000"/>
        </w:rPr>
        <w:t xml:space="preserve"> kopalin.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tereny i obszary górnicze.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części obszaru objętego planem, zgodnie z informacjami archiwalnymi, prowadzona była płytka eksploatacja rudna i występują wyrobiska mające połączenie z powierzchnią (zlikwidowan</w:t>
      </w:r>
      <w:r>
        <w:rPr>
          <w:color w:val="000000"/>
          <w:u w:color="000000"/>
        </w:rPr>
        <w:t>e szyby i szybiki, które na rysunku planu oznaczono w celach informacyjnych).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planem występują płytkie wody gruntowe o głębokości do 1,0 m p. p. t., których orientacyjny zasięg wskazano na rysunku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Na obszarze planu </w:t>
      </w:r>
      <w:r>
        <w:rPr>
          <w:color w:val="000000"/>
          <w:u w:color="000000"/>
        </w:rPr>
        <w:t>nie występują obszary szczególnego zagrożenia powodzią oraz osuwania się mas ziemnych, wobec czego nie formułuje się ustaleń dotyczących: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</w:t>
      </w:r>
      <w:r>
        <w:rPr>
          <w:color w:val="000000"/>
          <w:u w:color="000000"/>
        </w:rPr>
        <w:t xml:space="preserve"> obszarów osuwania się mas ziemnych.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 terenie położonym w granicach obszaru Natura 2000 ustala się nakaz realizacji zabudowy i zagospodarowania terenów, w tym lokalizowania inwestycji i przedsięwzięć – zgodnie z planem zadań ochronnych wydanym zarządz</w:t>
      </w:r>
      <w:r>
        <w:rPr>
          <w:color w:val="000000"/>
          <w:u w:color="000000"/>
        </w:rPr>
        <w:t xml:space="preserve">eniem Regionalnego Dyrektora Ochrony Środowiska w Katowicach z dnia 24 kwietnia 2014 r. w sprawie ustanowienia planu zadań ochronnych dla obszaru Natura 2000 Podziemia Tarnogórsko-Bytomskie PLH240003, zmienionym zarządzeniem Regionalnego Dyrektora Ochrony </w:t>
      </w:r>
      <w:r>
        <w:rPr>
          <w:color w:val="000000"/>
          <w:u w:color="000000"/>
        </w:rPr>
        <w:t>Środowiska w Katowicach z dnia 18 maja 2015 r. o zmianie zarządzenia w sprawie ustanowienia planu zadań ochronnych dla obszaru Natura 2000 Podziemia Tarnogórsko-Bytomskie PLH240003 oraz zmienione zarządzeniem Regionalnego Dyrektora Ochrony Środowiska w Kat</w:t>
      </w:r>
      <w:r>
        <w:rPr>
          <w:color w:val="000000"/>
          <w:u w:color="000000"/>
        </w:rPr>
        <w:t>owicach z dnia 20 lipca 2023 r. o zmianie zarządzenia w sprawie ustanowienia planu zadań ochronnych dla obszaru Natura 2000 Podziemia Tarnogórsko-Bytomskie PLH240003.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Ze względu na położenie obszaru planu w granicach Głównego Zbiornika Wód Podziemnych G</w:t>
      </w:r>
      <w:r>
        <w:rPr>
          <w:color w:val="000000"/>
          <w:u w:color="000000"/>
        </w:rPr>
        <w:t>ZWP nr 330 Gliwice wraz z ustanowionym obszarem ochronnym, obowiązują działania zawarte w rozporządzeniu Wojewody Śląskiego z dnia 25 września 2023 r. w sprawie ustanowienia obszaru ochronnego Głównego Zbiornika Wód Podziemnych nr 330 – Zbiornik Gliwice.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</w:t>
      </w:r>
      <w:r>
        <w:rPr>
          <w:b/>
        </w:rPr>
        <w:t>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Szczegółowe zasady i warunki scalania i podziału nieruchomości objętych planem miejscowym, w tym parametry działek uzyskiwanych w wyniku scalania i podziału nieruchomości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Ustala się następujące parametry działek uzyskiwanych w wyniku sc</w:t>
      </w:r>
      <w:r>
        <w:rPr>
          <w:color w:val="000000"/>
          <w:u w:color="000000"/>
        </w:rPr>
        <w:t>alania i podziału nieruchomości: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20,0 m – dla terenów o symbolach: 1U, 2U i 3U,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16,0 m – dla terenów o symbolach: 1MN, 2MN, 3MN, 4MN, 5MN, 7MN, 8MN, 9MN, 10MN, 11MN, 16MN, 19MN, 20MN, 21MN, 24MN, 25MN, 27MN, 29</w:t>
      </w:r>
      <w:r>
        <w:rPr>
          <w:color w:val="000000"/>
          <w:u w:color="000000"/>
        </w:rPr>
        <w:t>MN, 31MN, 33MN, 34MN, 36MN, 37MN, 38MN, 39MN, 40MN, 1MU, 2MU, 3MU, 4MU, 5MU, 7MU, 8MU i 9MU,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9,0 m – dla terenów o symbolach: 6MN, 12MN, 13MN, 14MN, 15MN, 17MN, 18MN, 22MN, 23MN, 26MN, 28MN, 30MN, 32MN i 35MN,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3,0 m – dla terenów o symbolach: 6MU i 1</w:t>
      </w:r>
      <w:r>
        <w:rPr>
          <w:color w:val="000000"/>
          <w:u w:color="000000"/>
        </w:rPr>
        <w:t>KS,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5,0 m – dla pozostałych terenów;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1U, 2U, 3U, 7MU, 8MU i 9MU,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3MU, 4MU i 5MU, 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terenu o symbolu 6MU, 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15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– dla terenu </w:t>
      </w:r>
      <w:r>
        <w:rPr>
          <w:color w:val="000000"/>
          <w:u w:color="000000"/>
        </w:rPr>
        <w:t>o symbolu 1KS,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ust. 1 parametry działek w przypadku scalania i podziału nieruchomości nie dotyczą wydzie</w:t>
      </w:r>
      <w:r>
        <w:rPr>
          <w:color w:val="000000"/>
          <w:u w:color="000000"/>
        </w:rPr>
        <w:t>lania działek pod infrastrukturę techniczną.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Dla istniejącej zabudowy na działkach budowlanych, na których w momencie wejścia w życie</w:t>
      </w:r>
      <w:r>
        <w:rPr>
          <w:color w:val="000000"/>
          <w:u w:color="000000"/>
        </w:rPr>
        <w:t xml:space="preserve"> planu przekroczone zostały zasady ustalone w niniejszym planie, w tym przeznaczenie oraz parametry i wskaźniki zabudowy lub zagospodarowania terenu ustala się zakaz rozbudowy, która powodowałaby dalsze przekroczenie zasad, parametrów i wskaźników zabudowy</w:t>
      </w:r>
      <w:r>
        <w:rPr>
          <w:color w:val="000000"/>
          <w:u w:color="000000"/>
        </w:rPr>
        <w:t xml:space="preserve"> lub zagospodarowania terenu, za wyjątkiem rozbudowy o elementy takie jak: wejścia do budynku, dostosowanie wejść dla potrzeb osób niepełnosprawnych, zadaszenia wejść oraz docieplenia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zabudowy fragmentów budynków i</w:t>
      </w:r>
      <w:r>
        <w:rPr>
          <w:color w:val="000000"/>
          <w:u w:color="000000"/>
        </w:rPr>
        <w:t>stniejących w dniu wejścia w życie planu, dopuszcza się przebudowy, remonty i zmiany sposobu użytkowania przy zachowaniu pozostałych ustaleń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Zakaz realizacji obiektów handlu wielkopowierzchniowego.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Zakaz lokalizacji urządzeń wytwarzających ene</w:t>
      </w:r>
      <w:r>
        <w:rPr>
          <w:color w:val="000000"/>
          <w:u w:color="000000"/>
        </w:rPr>
        <w:t>rgię z odnawialnych źródeł energii, wykorzystujących energię wiatru – za wyjątkiem mikroinstalacji w rozumieniu ustawy z dnia 20 lutego 2015 r. o odnawialnych źródłach energii.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 lokalizacji instalacji fotowoltaicznych, w tym ich urządzeń – za wyjąt</w:t>
      </w:r>
      <w:r>
        <w:rPr>
          <w:color w:val="000000"/>
          <w:u w:color="000000"/>
        </w:rPr>
        <w:t>kiem instalacji fotowoltaicznych, w tym ich urządzeń, służących wyłącznie zaspokajaniu potrzeb zabudowy zlokalizowanej na tej samej działce budowlanej, z zastrzeżeniem pozostałych ustaleń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Zakaz realizacji garaży zbiorowych, za wyjątkiem terenów o</w:t>
      </w:r>
      <w:r>
        <w:rPr>
          <w:color w:val="000000"/>
          <w:u w:color="000000"/>
        </w:rPr>
        <w:t> symbolach: 1KS i 1MU, z uwzględnieniem pozostałych ustaleń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maksymalną wysokość obiektów budowlanych, takich jak: garaże, oranżerie, budynki gospodarcze i obiekty małej architektury odpowiadającą wysokości budynków dla poszczególnych t</w:t>
      </w:r>
      <w:r>
        <w:rPr>
          <w:color w:val="000000"/>
          <w:u w:color="000000"/>
        </w:rPr>
        <w:t>erenów oraz przy uwzględnieniu ustaleń szczegółowych.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Dla terenów zabudowy położonych na obszarze niniejszego planu w strefie w odległości 50,0 m od granicy istniejącego cmentarza, oznaczonej graficznie na rysunku planu, zakazuje się lokalizacji: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now</w:t>
      </w:r>
      <w:r>
        <w:rPr>
          <w:color w:val="000000"/>
          <w:u w:color="000000"/>
        </w:rPr>
        <w:t>ej zabudowy mieszkaniowej;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zakładów produkcji żywności;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zakładów żywienia zbiorowego;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studni służących do czerpania wody do picia i potrzeb gospodarczych;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zakładów przechowujących artykuły żywności.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Dla terenów zabudowy położonych na obszarz</w:t>
      </w:r>
      <w:r>
        <w:rPr>
          <w:color w:val="000000"/>
          <w:u w:color="000000"/>
        </w:rPr>
        <w:t>e niniejszego planu pomiędzy strefą w odległości 50,0 m od granicy istniejącego cmentarza do strefy w odległości 150,0 m od granicy cmentarza dopuszcza się lokalizację budynków, z zastrzeżeniem podłączenia ich do sieci wodociągowej.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obrębie pasa tech</w:t>
      </w:r>
      <w:r>
        <w:rPr>
          <w:color w:val="000000"/>
          <w:u w:color="000000"/>
        </w:rPr>
        <w:t>nologicznego od linii elektroenergetycznej 220 kV relacji Blachownia-Łagisza (50 m, tj. po 25 m z każdej strony od osi linii), oznaczonej na rysunku planu, ustala się zakaz realizacji: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obiektów i urządzeń związanych ze stałym pobytem ludzi na terenach o</w:t>
      </w:r>
      <w:r>
        <w:rPr>
          <w:color w:val="000000"/>
          <w:u w:color="000000"/>
        </w:rPr>
        <w:t>znaczonych na rysunku planu symbolami: 1MN, 3MN, 5MN i 1ZP;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hałd, nasypów oraz zwiększania rzędnych terenu;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lokalizacji instalacji fotowoltaicznych, w tym ich urządzeń, uniemożliwiających dostęp do linii elektroenergetycznej 220 kV.</w:t>
      </w:r>
    </w:p>
    <w:p w:rsidR="00A77B3E" w:rsidRDefault="00AC05D5">
      <w:pPr>
        <w:keepNext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</w:t>
      </w:r>
      <w:r>
        <w:rPr>
          <w:b/>
          <w:color w:val="000000"/>
          <w:u w:color="000000"/>
        </w:rPr>
        <w:t>y modernizacji, rozbudowy i budowy systemów komunikacji i infrastruktury technicznej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</w:t>
      </w:r>
      <w:r>
        <w:rPr>
          <w:color w:val="000000"/>
          <w:u w:color="000000"/>
        </w:rPr>
        <w:t>przez istniejące ulice: Żołnierską, Witolda Gombrowicza, Bronisława Czecha, Tadeusza Kościuszki, Ptakowicką (położoną poza obszarem planu).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publicznych, publicznych ciągów pieszo-jezdnych, publicznych ciągów p</w:t>
      </w:r>
      <w:r>
        <w:rPr>
          <w:color w:val="000000"/>
          <w:u w:color="000000"/>
        </w:rPr>
        <w:t>ieszych i placów oraz dróg wewnętrznych zgodnie z warunkami zawartymi w paragrafach 41 – 47 niniejszej uchwały.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ustala się: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budowlanej</w:t>
      </w:r>
      <w:r>
        <w:rPr>
          <w:color w:val="000000"/>
          <w:u w:color="000000"/>
        </w:rPr>
        <w:t xml:space="preserve"> w ilości dostosowanej do rodzaju zabudowy i skali prowadzonej działalności, z uwzględnieniem pkt 2, przy czym ustala się następującą minimalną liczbę miejsc do parkowania: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 – 2 miejsca na 1 lokal mieszkalny,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zabudowy mieszkaniowej wielorodzinnej – 1,5 miejsca na 1 lokal mieszkalny,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zabudowy zamieszkania zbiorowego – 2 miejsca na 10 łóżek,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obiektów i lokali handlowych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dla gastronomii </w:t>
      </w:r>
      <w:r>
        <w:rPr>
          <w:color w:val="000000"/>
          <w:u w:color="000000"/>
        </w:rPr>
        <w:t>– 1 miejsce na 10 miejsc konsumpcyjnych,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zabudowy związanej ze sportem i rekreacją – 1 miejsce na 10 użytkowników, z zastrzeżeniem lit. g,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terenu o symbolu 6MU – 1 miejsce,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innych, niewymienionych wyżej działalności – 1 miejsce na 100 </w:t>
      </w:r>
      <w:r>
        <w:rPr>
          <w:color w:val="000000"/>
          <w:u w:color="000000"/>
        </w:rPr>
        <w:t>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od 6 do 15,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od 16 d</w:t>
      </w:r>
      <w:r>
        <w:rPr>
          <w:color w:val="000000"/>
          <w:u w:color="000000"/>
        </w:rPr>
        <w:t>o 40,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od 41 do 100,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jeżeli ogólna liczba stanowisk wynosi więcej niż 100.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liniach rozgraniczających dróg pu</w:t>
      </w:r>
      <w:r>
        <w:rPr>
          <w:color w:val="000000"/>
          <w:u w:color="000000"/>
        </w:rPr>
        <w:t>blicznych, wewnętrznych oraz ciągów pieszo-jezdnych;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pkt 1, dopuszczenie ich realizacji: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 a wyznaczoną nieprzekraczalną linią zabudowy,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wzdłuż granic </w:t>
      </w:r>
      <w:r>
        <w:rPr>
          <w:color w:val="000000"/>
          <w:u w:color="000000"/>
        </w:rPr>
        <w:t>nieruchomości lub w ich bezpośrednim sąsiedztwie;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realizacji sieci infrastruktury technicznej w sposób inny niż określony w pkt 1 i 2, jeżeli nie spowoduje to ograniczenia ustalonego planem przeznaczenia terenu.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Dopuszcza się rozbudowę, </w:t>
      </w:r>
      <w:r>
        <w:rPr>
          <w:color w:val="000000"/>
          <w:u w:color="000000"/>
        </w:rPr>
        <w:t>przebudowę oraz zmianę przebiegu sieci i urządzeń infrastruktury technicznej zlokalizowanych w obszarze objętym planem, z zastrzeżeniem ust. 1, a w przypadku realizacji ich nowego przebiegu – dopuszczenie likwidacji dotychczasowych odcinków sieci lub urząd</w:t>
      </w:r>
      <w:r>
        <w:rPr>
          <w:color w:val="000000"/>
          <w:u w:color="000000"/>
        </w:rPr>
        <w:t>zeń infrastruktury technicznej.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nakaz zapewnienia właściwego </w:t>
      </w:r>
      <w:r>
        <w:rPr>
          <w:color w:val="000000"/>
          <w:u w:color="000000"/>
        </w:rPr>
        <w:t>standardu zasilania w wodę dla ochrony przeciwpożarowej.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deszczowych: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i deszczowych do kanalizacji miejskiej, z zastrzeżeniem pkt 2 i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dopuszczenie, do czasu </w:t>
      </w:r>
      <w:r>
        <w:rPr>
          <w:color w:val="000000"/>
          <w:u w:color="000000"/>
        </w:rPr>
        <w:t>realizacji kanalizacji sanitarnej, odprowadzania ścieków sanitarnych zgodnie z przepisami ustawy z dnia 13 września 1996 r. o utrzymaniu czystości i porządku w gminach;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</w:t>
      </w:r>
      <w:r>
        <w:rPr>
          <w:color w:val="000000"/>
          <w:u w:color="000000"/>
        </w:rPr>
        <w:t>pca 2017 r. Prawo wodne;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stosowania urządzeń podczyszczających wody opadowe i roztopowe odprowadzane z terenów parkingów terenowych o powierzchni powyżej 0,1 ha.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</w:t>
      </w:r>
      <w:r>
        <w:rPr>
          <w:color w:val="000000"/>
          <w:u w:color="000000"/>
        </w:rPr>
        <w:t>zenia w ciepło: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ciepła z miejskiej sieci ciepłowniczej zdalaczynnej, z zastrzeżeniem pkt 2;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</w:t>
      </w:r>
      <w:r>
        <w:rPr>
          <w:color w:val="000000"/>
          <w:u w:color="000000"/>
        </w:rPr>
        <w:t>z ziemny w oparciu o istniejącą i projektowaną sieć gazową, z zastrzeżeniem pkt 2;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</w:t>
      </w:r>
      <w:r>
        <w:rPr>
          <w:color w:val="000000"/>
          <w:u w:color="000000"/>
        </w:rPr>
        <w:t xml:space="preserve"> i projektowaną sieć elektroenergetyczną, z zastrzeżeniem pkt 2;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indywidualnych urządzeń prądotwórczych wykorzystujących odnawialne źródła energii, z zastrzeżeniem § 12 ust. 4 i 5.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</w:t>
      </w:r>
      <w:r>
        <w:rPr>
          <w:color w:val="000000"/>
          <w:u w:color="000000"/>
        </w:rPr>
        <w:t>elekomunikacyjnej, budowa nowych urządzeń i sieci telekomunikacyjnych w celu zaspokojenia potrzeb w tym zakresie.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 xml:space="preserve">Nie ustala się sposobu i terminu </w:t>
      </w:r>
      <w:r>
        <w:rPr>
          <w:color w:val="000000"/>
          <w:u w:color="000000"/>
        </w:rPr>
        <w:t>tymczasowego zagospodarowania, urządzania i użytkowania terenów objętych planem.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Stawki procentowe, na podstawie których ustala się opłatę, o której mowa w art. 36 ust. 4 ustawy o planowaniu i zagospodarowaniu przestrzennym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Dla wszystkic</w:t>
      </w:r>
      <w:r>
        <w:rPr>
          <w:color w:val="000000"/>
          <w:u w:color="000000"/>
        </w:rPr>
        <w:t>h terenów objętych planem określa się stawkę procentową, na podstawie której ustala się opłatę, o której mowa w art. 36 ust. 4 ustawy z dnia 27 marca 2003 r. o planowaniu i zagospodarowaniu przestrzennym w wysokości 30% (słownie: trzydzieści procent).</w:t>
      </w:r>
    </w:p>
    <w:p w:rsidR="00A77B3E" w:rsidRDefault="00AC05D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</w:t>
      </w:r>
      <w:r>
        <w:rPr>
          <w:b/>
        </w:rPr>
        <w:t>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zagospodarowania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Dla terenów oznaczonych na rysunku planu symbolami: 1MN i 2MN – tereny zabudowy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</w:t>
      </w:r>
      <w:r>
        <w:rPr>
          <w:color w:val="000000"/>
          <w:u w:color="000000"/>
        </w:rPr>
        <w:t>tawowe: zabudowa mieszkaniowa jednorodzinna realizowana wyłącznie jako budynki wolnostojące;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usługi realizowane jako wbudowane w budynek mieszkalny, z zakresu usług: biurowych, finansowych, projektowych, ubezpieczeniowych, </w:t>
      </w:r>
      <w:r>
        <w:rPr>
          <w:color w:val="000000"/>
          <w:u w:color="000000"/>
        </w:rPr>
        <w:t>fryzjerskich, kosmetycznych, handlu oraz gabinety lekarskie, terapeutyczne,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mieszkaniowej,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</w:t>
      </w:r>
      <w:r>
        <w:rPr>
          <w:color w:val="000000"/>
          <w:u w:color="000000"/>
        </w:rPr>
        <w:t>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</w:t>
      </w:r>
      <w:r>
        <w:rPr>
          <w:color w:val="000000"/>
          <w:u w:color="000000"/>
        </w:rPr>
        <w:t>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c,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m, z zastrzeżeniem lit. c,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budowli i budynków realizowany</w:t>
      </w:r>
      <w:r>
        <w:rPr>
          <w:color w:val="000000"/>
          <w:u w:color="000000"/>
        </w:rPr>
        <w:t>ch na części terenu położonej poza nieprzekraczalnymi liniami zabudowy oznaczonymi literą „e”: 3,0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usługi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</w:t>
      </w:r>
      <w:r>
        <w:rPr>
          <w:color w:val="000000"/>
          <w:u w:color="000000"/>
        </w:rPr>
        <w:t xml:space="preserve">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i nieprzekraczalna linia zabudowy oznaczona literą „e” 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</w:t>
      </w:r>
      <w:r>
        <w:rPr>
          <w:color w:val="000000"/>
          <w:u w:color="000000"/>
        </w:rPr>
        <w:t>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Dla terenu oznaczonego na rysunku planu symbolem 3MN – teren zabudowy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jako budynki wolnostojące</w:t>
      </w:r>
      <w:r>
        <w:rPr>
          <w:color w:val="000000"/>
          <w:u w:color="000000"/>
        </w:rPr>
        <w:t xml:space="preserve"> lub w zabudowie bliźniaczej;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wbudowane w budynek mieszkalny, z zakresu usług: biurowych, finansowych, projektowych, ubezpieczeniowych, fryzjerskich, kosmetycznych, handlu oraz gabinety lekarskie, terapeutyczne,</w:t>
      </w:r>
      <w:r>
        <w:rPr>
          <w:color w:val="000000"/>
          <w:u w:color="000000"/>
        </w:rPr>
        <w:t xml:space="preserve">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istniejącą zabudowę usługową związaną z handlem poja</w:t>
      </w:r>
      <w:r>
        <w:rPr>
          <w:color w:val="000000"/>
          <w:u w:color="000000"/>
        </w:rPr>
        <w:t>zdami.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c, d,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7,0 m, z zastrzeżeniem lit. c,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budowli i budynków realizowany</w:t>
      </w:r>
      <w:r>
        <w:rPr>
          <w:color w:val="000000"/>
          <w:u w:color="000000"/>
        </w:rPr>
        <w:t>ch na części terenu położonej poza nieprzekraczalnymi liniami zabudowy oznaczonymi literą „e”: 3,0 m, z zastrzeżeniem lit. d,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budowli infrastruktury przesyłowej sieci elektroenergetycznej: 30,0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</w:t>
      </w:r>
      <w:r>
        <w:rPr>
          <w:color w:val="000000"/>
          <w:u w:color="000000"/>
        </w:rPr>
        <w:t>ego: usługi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i nieprzekraczalna linia zabudowy oznaczona lite</w:t>
      </w:r>
      <w:r>
        <w:rPr>
          <w:color w:val="000000"/>
          <w:u w:color="000000"/>
        </w:rPr>
        <w:t>rą „e” 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 xml:space="preserve">Dla terenów oznaczonych na rysunku planu symbolami: 4MN, 8MN, 10MN, 11MN, 21MN, 24MN, 25MN i 37MN </w:t>
      </w:r>
      <w:r>
        <w:rPr>
          <w:color w:val="000000"/>
          <w:u w:color="000000"/>
        </w:rPr>
        <w:t>– tereny zabudowy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wyłącznie jako budynki wolnostojące;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wbudowane w budynek mieszkalny, z </w:t>
      </w:r>
      <w:r>
        <w:rPr>
          <w:color w:val="000000"/>
          <w:u w:color="000000"/>
        </w:rPr>
        <w:t>zakresu usług: biurowych, finansowych, projektowych, ubezpieczeniowych, fryzjerskich, kosmetycznych, handlu oraz gabinety lekarskie, terapeutyczne,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mieszkaniowej, realizow</w:t>
      </w:r>
      <w:r>
        <w:rPr>
          <w:color w:val="000000"/>
          <w:u w:color="000000"/>
        </w:rPr>
        <w:t>ane na tej samej działce budowlanej, z zastrzeżeniem ust.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AC05D5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przebudowę i rozbudowę istniejącej zabudowy usługowej, zgodnie z parametrami zawartymi w ust. 3 i 4,</w:t>
      </w:r>
    </w:p>
    <w:p w:rsidR="00A77B3E" w:rsidRDefault="00AC05D5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przebudowę i rozbudowę istni</w:t>
      </w:r>
      <w:r>
        <w:rPr>
          <w:color w:val="000000"/>
          <w:u w:color="000000"/>
        </w:rPr>
        <w:t>ejącej drobnej wytwórczości, zgodnie z parametrami zawartymi w ust. 3 i 4,</w:t>
      </w:r>
    </w:p>
    <w:p w:rsidR="00A77B3E" w:rsidRDefault="00AC05D5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przebudowę i rozbudowę istniejącej zabudowy usługowej związanej z obsługą pojazdów, zgodnie z parametrami zawartymi w ust. 3 i 4,</w:t>
      </w:r>
    </w:p>
    <w:p w:rsidR="00A77B3E" w:rsidRDefault="00AC05D5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przebudowę i rozbudowę istniejącego </w:t>
      </w:r>
      <w:r>
        <w:rPr>
          <w:color w:val="000000"/>
          <w:u w:color="000000"/>
        </w:rPr>
        <w:t>ogrodnictwa, upraw szklarniowych, zgodnie z parametrami zawartymi w ust. 3 i 4.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wskaźnik powierzchni biologicznie czynnej: 40%, </w:t>
      </w:r>
      <w:r>
        <w:rPr>
          <w:color w:val="000000"/>
          <w:u w:color="000000"/>
        </w:rPr>
        <w:t>przy czym powierzchnie szklarni dla potrzeb ogrodnictwa z uprawami na gruncie rodzimym można wliczyć do wskaźnika powierzchni biologicznie czynnej;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</w:t>
      </w:r>
      <w:r>
        <w:rPr>
          <w:color w:val="000000"/>
          <w:u w:color="000000"/>
        </w:rPr>
        <w:t>i zabudowy: 40%, przy czym powierzchni szklarni dla potrzeb ogrodnictwa i upraw nie wlicza się do wskaźnika powierzchni zabudowy;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</w:t>
      </w:r>
      <w:r>
        <w:rPr>
          <w:color w:val="000000"/>
          <w:u w:color="000000"/>
        </w:rPr>
        <w:t xml:space="preserve"> uzupełniającego: usługi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</w:t>
      </w:r>
      <w:r>
        <w:rPr>
          <w:color w:val="000000"/>
          <w:u w:color="000000"/>
        </w:rPr>
        <w:t>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Dla terenów oznaczonych na rysunku planu symbolami: 5MN, 6MN, 9MN, 15MN, 17MN, 18MN, 22MN, 23MN, 26MN, 28MN, 30MN, 32MN i 35MN – tereny za</w:t>
      </w:r>
      <w:r>
        <w:rPr>
          <w:color w:val="000000"/>
          <w:u w:color="000000"/>
        </w:rPr>
        <w:t>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wyłącznie jako budynki w zabudowie bliźniaczej,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wbudowane w budynek mieszkalny, z zak</w:t>
      </w:r>
      <w:r>
        <w:rPr>
          <w:color w:val="000000"/>
          <w:u w:color="000000"/>
        </w:rPr>
        <w:t>resu usług: biurowych, finansowych, projektowych, ubezpieczeniowych, fryzjerskich, kosmetycznych, handlu oraz gabinety lekarskie, terapeutyczne,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garaże i budynki gospodarcze towarzyszące zabudowie mieszkaniowej realizowane </w:t>
      </w:r>
      <w:r>
        <w:rPr>
          <w:color w:val="000000"/>
          <w:u w:color="000000"/>
        </w:rPr>
        <w:t>na tej samej działce budowlanej, z zastrzeżeniem ust.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istniejącą zabudowę usługową, w tym zabudowę związaną z handlem lub obsługą pojazdów oraz związaną z naprawą maszyn i pojazdów </w:t>
      </w:r>
      <w:r>
        <w:rPr>
          <w:color w:val="000000"/>
          <w:u w:color="000000"/>
        </w:rPr>
        <w:t>mechanicznych,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przebudowę i rozbudowę istniejącej zabudowy mieszkaniowej wielorodzinnej, zgodnie z parametrami zawartymi w ust. 3 i 4;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zabudowę mieszkaniową jednorodzinną realizowaną jako budynki wolnostojące – w przypadku realizacji takiego budynku </w:t>
      </w:r>
      <w:r>
        <w:rPr>
          <w:color w:val="000000"/>
          <w:u w:color="000000"/>
        </w:rPr>
        <w:t>w miejscu dwóch segmentów jednego budynku bliźniaczego.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</w:t>
      </w:r>
      <w:r>
        <w:rPr>
          <w:color w:val="000000"/>
          <w:u w:color="000000"/>
        </w:rPr>
        <w:t>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7,0 m,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usługi – nie</w:t>
      </w:r>
      <w:r>
        <w:rPr>
          <w:color w:val="000000"/>
          <w:u w:color="000000"/>
        </w:rPr>
        <w:t>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na rysunku planu symbolami: 5MN, 6MN, 9MN, 17MN, 18MN, 22MN, 23MN, 28MN</w:t>
      </w:r>
      <w:r>
        <w:rPr>
          <w:color w:val="000000"/>
          <w:u w:color="000000"/>
        </w:rPr>
        <w:t>, 30MN i 35MN nieprzekraczalna linia zabudowy i obowiązująca linia zabudowy – zgodnie z rysunkiem planu, z zastrzeżeniem pkt 4;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na rysunku planu symbolami: 15MN, 26MN, 32MN obowiązująca linia zabudowy – zgodnie z rysunkiem planu,</w:t>
      </w:r>
      <w:r>
        <w:rPr>
          <w:color w:val="000000"/>
          <w:u w:color="000000"/>
        </w:rPr>
        <w:t xml:space="preserve"> z zastrzeżeniem pkt 4;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budynków mieszkalnych na głębokości 8,0 m licząc od linii zabudowy: dwuspadowe, kąt nachylenia połaci dachowych 45°, położenie głównej kalenicy i głównych połaci dachu równolegle do frontu działki, tj. obowiązującej</w:t>
      </w:r>
      <w:r>
        <w:rPr>
          <w:color w:val="000000"/>
          <w:u w:color="000000"/>
        </w:rPr>
        <w:t xml:space="preserve"> linii zabudowy,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pozostałych budynków: wszystkie formy i konstrukcje, przy czym dla dachów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dachów, o których mowa w lit. a oraz dla dachów spadowych, o któr</w:t>
      </w:r>
      <w:r>
        <w:rPr>
          <w:color w:val="000000"/>
          <w:u w:color="000000"/>
        </w:rPr>
        <w:t>ych mowa w lit. b nakaz stosowania wyłącznie dachówki ceramicznej karpiówki układanej w podwójną koronkę lub łuskę, w kolorze naturalnego spieku ceglanego, tj. w odcieniach czerwieni lub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dla realizacji garaży i budynków gospodarczych: wyznaczone </w:t>
      </w:r>
      <w:r>
        <w:rPr>
          <w:color w:val="000000"/>
          <w:u w:color="000000"/>
        </w:rPr>
        <w:t>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zakaz realizacji garaży i budynków gospodarczych w odległości mniejszej niż 10,0 m od linii rozgraniczających dróg – zakaz ten nie dotyczy garaży wbudowanych w</w:t>
      </w:r>
      <w:r>
        <w:rPr>
          <w:color w:val="000000"/>
          <w:u w:color="000000"/>
        </w:rPr>
        <w:t> budynek mieszkalny lub usługowy.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Ustala się nakaz zachowania szerokości budynku, równej istniejącej szerokości elewacji frontowej, na głębokości 8,0 m licząc od linii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Dla terenów oznaczonych na rysunku planu symbolami: 12MN, 13MN i 1</w:t>
      </w:r>
      <w:r>
        <w:rPr>
          <w:color w:val="000000"/>
          <w:u w:color="000000"/>
        </w:rPr>
        <w:t>4MN – tereny zabudowy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jako budynki wolnostojące, w zabudowie szeregowej lub bliźniaczej;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usługi realizowane jako </w:t>
      </w:r>
      <w:r>
        <w:rPr>
          <w:color w:val="000000"/>
          <w:u w:color="000000"/>
        </w:rPr>
        <w:t>wbudowane w budynek mieszkalny, z zakresu usług: biurowych, finansowych, projektowych, ubezpieczeniowych, fryzjerskich, kosmetycznych, handlu oraz gabinety lekarskie, terapeutyczne,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</w:t>
      </w:r>
      <w:r>
        <w:rPr>
          <w:color w:val="000000"/>
          <w:u w:color="000000"/>
        </w:rPr>
        <w:t xml:space="preserve"> zabudowie mieszkaniowej,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</w:t>
      </w:r>
      <w:r>
        <w:rPr>
          <w:color w:val="000000"/>
          <w:u w:color="000000"/>
        </w:rPr>
        <w:t>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</w:t>
      </w:r>
      <w:r>
        <w:rPr>
          <w:color w:val="000000"/>
          <w:u w:color="000000"/>
        </w:rPr>
        <w:t>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usługi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</w:t>
      </w:r>
      <w:r>
        <w:rPr>
          <w:color w:val="000000"/>
          <w:u w:color="000000"/>
        </w:rPr>
        <w:t>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Dla terenów oznaczonych na rysunku planu symbolami: 7MN, 16MN, 36MN, 38MN, 39MN i 40MN – tereny zabudowy miesz</w:t>
      </w:r>
      <w:r>
        <w:rPr>
          <w:color w:val="000000"/>
          <w:u w:color="000000"/>
        </w:rPr>
        <w:t>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wyłącznie jako budynki wolnostojące;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usługi realizowane jako wbudowane w budynek mieszkalny, z zakresu usług: biurowych, </w:t>
      </w:r>
      <w:r>
        <w:rPr>
          <w:color w:val="000000"/>
          <w:u w:color="000000"/>
        </w:rPr>
        <w:t>finansowych, projektowych, ubezpieczeniowych, fryzjerskich, kosmetycznych, handlu oraz gabinety lekarskie, terapeutyczne,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 realizowane na tej samej działce bu</w:t>
      </w:r>
      <w:r>
        <w:rPr>
          <w:color w:val="000000"/>
          <w:u w:color="000000"/>
        </w:rPr>
        <w:t>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istniejącą zabudowę usługową związaną z obsługą pojazdów;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przebudowę i rozbudowę istniejącej zabudowy mieszkaniowej jednorodzinnej zrealizowanej w formie zabudowy bliźniaczej, zgod</w:t>
      </w:r>
      <w:r>
        <w:rPr>
          <w:color w:val="000000"/>
          <w:u w:color="000000"/>
        </w:rPr>
        <w:t>nie z parametrami zawartymi w ust. 3 i 4.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wskaźnik </w:t>
      </w:r>
      <w:r>
        <w:rPr>
          <w:color w:val="000000"/>
          <w:u w:color="000000"/>
        </w:rPr>
        <w:t>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usługi – nie więcej ni</w:t>
      </w:r>
      <w:r>
        <w:rPr>
          <w:color w:val="000000"/>
          <w:u w:color="000000"/>
        </w:rPr>
        <w:t>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</w:t>
      </w:r>
      <w:r>
        <w:rPr>
          <w:color w:val="000000"/>
          <w:u w:color="000000"/>
        </w:rPr>
        <w:t>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>Dla terenów oznaczonych na rysunku planu symbolami: 19MN, 20MN, 27MN, 29MN, 31MN, 33MN i 34MN – tereny zabudowy mieszkaniowej jednorodzinnej,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</w:t>
      </w:r>
      <w:r>
        <w:rPr>
          <w:color w:val="000000"/>
          <w:u w:color="000000"/>
        </w:rPr>
        <w:t>owe: zabudowa mieszkaniowa jednorodzinna realizowana wyłącznie jako budynki wolnostojące;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wbudowane w budynek mieszkalny, z zakresu usług: biurowych, finansowych, projektowych, ubezpieczeniowych, fryzjerskich, k</w:t>
      </w:r>
      <w:r>
        <w:rPr>
          <w:color w:val="000000"/>
          <w:u w:color="000000"/>
        </w:rPr>
        <w:t>osmetycznych, handlu oraz gabinety lekarskie, terapeutyczne,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mieszkaniowej, realizowane na tej samej działce budowlanej, z zastrzeżeniem ust.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</w:t>
      </w:r>
      <w:r>
        <w:rPr>
          <w:color w:val="000000"/>
          <w:u w:color="000000"/>
        </w:rPr>
        <w:t>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przebudowę i rozbudowę istniejącej zabudowy mieszkaniowej wielorodzinnej, zgodnie z parametrami zawartymi w ust. 3 i 4,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przebudowę i rozbudowę istniejącej zabudowy mieszkaniowej jednorodzinnej zrealizowanej w formie </w:t>
      </w:r>
      <w:r>
        <w:rPr>
          <w:color w:val="000000"/>
          <w:u w:color="000000"/>
        </w:rPr>
        <w:t>zabudowy bliźniaczej, zgodnie z parametrami zawartymi w ust. 3 i 4.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</w:t>
      </w:r>
      <w:r>
        <w:rPr>
          <w:color w:val="000000"/>
          <w:u w:color="000000"/>
        </w:rPr>
        <w:t xml:space="preserve">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</w:t>
      </w:r>
      <w:r>
        <w:rPr>
          <w:color w:val="000000"/>
          <w:u w:color="000000"/>
        </w:rPr>
        <w:t xml:space="preserve"> usługi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na rysunku planu symbolami: 19MN, 29MN, 31MN i 33MN nieprz</w:t>
      </w:r>
      <w:r>
        <w:rPr>
          <w:color w:val="000000"/>
          <w:u w:color="000000"/>
        </w:rPr>
        <w:t>ekraczalna linia zabudowy i obowiązująca linia zabudowy – zgodnie z rysunkiem planu, z zastrzeżeniem pkt 5;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na rysunku planu symbolami: 20MN i 34MN obowiązująca linia zabudowy – zgodnie z rysunkiem planu, z zastrzeżeniem pkt 5;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</w:t>
      </w:r>
      <w:r>
        <w:t>) </w:t>
      </w:r>
      <w:r>
        <w:rPr>
          <w:color w:val="000000"/>
          <w:u w:color="000000"/>
        </w:rPr>
        <w:t>dla terenu oznaczonego na rysunku planu symbolem 27MN 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budynków mieszkalnych na głębokości 8,0 m licząc od linii zabudowy: dwuspadowe, kąt nachylenia połaci dachowych 45°, położ</w:t>
      </w:r>
      <w:r>
        <w:rPr>
          <w:color w:val="000000"/>
          <w:u w:color="000000"/>
        </w:rPr>
        <w:t>enie głównej kalenicy i głównych połaci dachu prostopadle do frontu działki, tj. obowiązującej linii zabudowy, z zastrzeżeniem lit. c,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pozostałych budynków: wszystkie formy i konstrukcje, przy czym dla dachów spadowych kąt nachylenia połaci dachowyc</w:t>
      </w:r>
      <w:r>
        <w:rPr>
          <w:color w:val="000000"/>
          <w:u w:color="000000"/>
        </w:rPr>
        <w:t>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budynków mieszkalnych zlokalizowanych na terenie oznaczonym na rysunku planu symbolem 27MN: dwuspadowe, kąt nachylenia połaci dachowych 45°, położenie głównej kalenicy i głównych połaci dachu prostopadle do drogi oznaczonej na rysunku plan</w:t>
      </w:r>
      <w:r>
        <w:rPr>
          <w:color w:val="000000"/>
          <w:u w:color="000000"/>
        </w:rPr>
        <w:t>u symbolem 2KDL,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dachów, o których mowa w lit. a, c oraz dla dachów spadowych, o których mowa w lit. b nakaz stosowania wyłącznie dachówki ceramicznej karpiówki układanej w podwójną koronkę lub łuskę, w kolorze na</w:t>
      </w:r>
      <w:r>
        <w:rPr>
          <w:color w:val="000000"/>
          <w:u w:color="000000"/>
        </w:rPr>
        <w:t>turalnego spieku ceglanego, tj. w odcieniach czerwieni lub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realizacji garaży i budynków gospodarczych – wyznaczone 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zakaz realizacji garaży i budy</w:t>
      </w:r>
      <w:r>
        <w:rPr>
          <w:color w:val="000000"/>
          <w:u w:color="000000"/>
        </w:rPr>
        <w:t>nków gospodarczych w odległości mniejszej niż 10,0 m od linii rozgraniczających dróg – zakaz ten nie dotyczy garaży wbudowanych w budynek mieszkalny.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Dla terenu oznaczonego na rysunku planu symbolem 1MU – teren zabudowy mieszkaniowo-usługowej, ust</w:t>
      </w:r>
      <w:r>
        <w:rPr>
          <w:color w:val="000000"/>
          <w:u w:color="000000"/>
        </w:rPr>
        <w:t>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wyłącznie jako budynki wolnostojące,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 w tym usługi związane z jeździectwem konnym i hipoterapią, w tym stajnie,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</w:t>
      </w:r>
      <w:r>
        <w:rPr>
          <w:color w:val="000000"/>
          <w:u w:color="000000"/>
        </w:rPr>
        <w:t>okale mieszkalne wbudowane w budynek usługowy,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realizacji przeznaczenia podstawowego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</w:t>
      </w:r>
      <w:r>
        <w:rPr>
          <w:color w:val="000000"/>
          <w:u w:color="000000"/>
        </w:rPr>
        <w:t>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</w:t>
      </w:r>
      <w:r>
        <w:rPr>
          <w:color w:val="000000"/>
          <w:u w:color="000000"/>
        </w:rPr>
        <w:t>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 oraz nie więcej</w:t>
      </w:r>
      <w:r>
        <w:rPr>
          <w:color w:val="000000"/>
          <w:u w:color="000000"/>
        </w:rPr>
        <w:t xml:space="preserve"> niż 2.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</w:t>
      </w:r>
      <w:r>
        <w:rPr>
          <w:color w:val="000000"/>
          <w:u w:color="000000"/>
        </w:rPr>
        <w:t xml:space="preserve">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>1. </w:t>
      </w:r>
      <w:r>
        <w:rPr>
          <w:color w:val="000000"/>
          <w:u w:color="000000"/>
        </w:rPr>
        <w:t>Dla terenu oznaczonego na rysunku planu symbolem 2MU – teren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jako budynki wolnostojąc</w:t>
      </w:r>
      <w:r>
        <w:rPr>
          <w:color w:val="000000"/>
          <w:u w:color="000000"/>
        </w:rPr>
        <w:t>e lub w zabudowie bliźniaczej,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domy pomocy i opieki społecznej;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garaże i budynki gospodarcze towarzyszące realizacji </w:t>
      </w:r>
      <w:r>
        <w:rPr>
          <w:color w:val="000000"/>
          <w:u w:color="000000"/>
        </w:rPr>
        <w:t>przeznaczenia podstawowego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</w:t>
      </w:r>
      <w:r>
        <w:rPr>
          <w:color w:val="000000"/>
          <w:u w:color="000000"/>
        </w:rPr>
        <w:t>cznie czynnej: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</w:t>
      </w:r>
      <w:r>
        <w:rPr>
          <w:color w:val="000000"/>
          <w:u w:color="000000"/>
        </w:rPr>
        <w:t>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>Dla terenu oznaczonego na rysunku planu symbolem 3MU – teren zabudowy mieszkaniowo-usługowej, ustala się prze</w:t>
      </w:r>
      <w:r>
        <w:rPr>
          <w:color w:val="000000"/>
          <w:u w:color="000000"/>
        </w:rPr>
        <w:t>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wyłącznie jako budynki wolnostojące,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związane z handlem pojazdami lub obsługą pojazdów oraz związane z naprawą maszyn i pojazdów mechanicznych,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</w:t>
      </w:r>
      <w:r>
        <w:rPr>
          <w:color w:val="000000"/>
          <w:u w:color="000000"/>
        </w:rPr>
        <w:t>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realizacji przeznaczenia podstawowego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</w:t>
      </w:r>
      <w:r>
        <w:rPr>
          <w:color w:val="000000"/>
          <w:u w:color="000000"/>
        </w:rPr>
        <w:t xml:space="preserve">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</w:t>
      </w:r>
      <w:r>
        <w:rPr>
          <w:color w:val="000000"/>
          <w:u w:color="000000"/>
        </w:rPr>
        <w:t>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</w:t>
      </w:r>
      <w:r>
        <w:rPr>
          <w:color w:val="000000"/>
          <w:u w:color="000000"/>
        </w:rPr>
        <w:t>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</w:t>
      </w:r>
      <w:r>
        <w:rPr>
          <w:color w:val="000000"/>
          <w:u w:color="000000"/>
        </w:rPr>
        <w:t xml:space="preserve">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Dla terenu oznaczonego na rysunku planu symbolem 4MU – tereny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zabudowa mieszkaniowa jednorodzinna realizowana wyłącznie jako budynki w zabudowie </w:t>
      </w:r>
      <w:r>
        <w:rPr>
          <w:color w:val="000000"/>
          <w:u w:color="000000"/>
        </w:rPr>
        <w:t>bliźniaczej,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 z zastrzeżeniem ust. 3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realizacji przeznaczenia podstawowego na tej samej działce budowl</w:t>
      </w:r>
      <w:r>
        <w:rPr>
          <w:color w:val="000000"/>
          <w:u w:color="000000"/>
        </w:rPr>
        <w:t>anej, z zastrzeżeniem ust.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zabudowę mieszkaniową jednorodzinną realizowaną jako budynki wolnostojące - w przypadku realizacji takiego budynku w miejscu dwóch segmentów jednego budynku bliźniacze</w:t>
      </w:r>
      <w:r>
        <w:rPr>
          <w:color w:val="000000"/>
          <w:u w:color="000000"/>
        </w:rPr>
        <w:t>go.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7,0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</w:t>
      </w:r>
      <w:r>
        <w:rPr>
          <w:color w:val="000000"/>
          <w:u w:color="000000"/>
        </w:rPr>
        <w:t>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i obowiązująca linia zabudowy – zgodnie z rysunkiem planu, z zastrzeżeniem pkt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dla budynków </w:t>
      </w:r>
      <w:r>
        <w:rPr>
          <w:color w:val="000000"/>
          <w:u w:color="000000"/>
        </w:rPr>
        <w:t>mieszkalnych i usługowych: dwuspadowe, kąt nachylenia połaci dachowych 45°, położenie głównej kalenicy i głównych połaci dachu równolegle do frontu działki, tj. obowiązującej linii zabudowy,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dla pozostałych budynków: wszystkie formy i konstrukcje, przy </w:t>
      </w:r>
      <w:r>
        <w:rPr>
          <w:color w:val="000000"/>
          <w:u w:color="000000"/>
        </w:rPr>
        <w:t>czym dla dachów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dachów, o których mowa w lit. a oraz dla dachów spadowych, o których mowa w lit. b nakaz stosowania wyłącznie dachówki ceramicznej karpiówki układa</w:t>
      </w:r>
      <w:r>
        <w:rPr>
          <w:color w:val="000000"/>
          <w:u w:color="000000"/>
        </w:rPr>
        <w:t>nej w podwójną koronkę lub łuskę, w kolorze naturalnego spieku ceglanego, tj. w odcieniach czerwieni lub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realizacji garaży i budynków gospodarczych: wyznaczone 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zakaz realizacji garaży i budynków gospodarczych w odległości mniejszej niż 10,0 m od linii rozgraniczających dróg – zakaz ten nie dotyczy garaży wbudowanych w budynek mieszkalny lub usługowy.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Dla terenu oznaczonego na rysunku planu</w:t>
      </w:r>
      <w:r>
        <w:rPr>
          <w:color w:val="000000"/>
          <w:u w:color="000000"/>
        </w:rPr>
        <w:t xml:space="preserve"> symbolem 5MU – teren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jako budynki: wolnostojące lub w zabudowie bliźniaczej,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istniejąca zabudowa mieszkaniowa wielorodzinna,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</w:t>
      </w:r>
      <w:r>
        <w:t>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 budynki gospodarcze towarzyszące realizacji przeznaczenia podstawowego na tej samej działce budowlanej, z zastrzeżeniem ust. 4,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parametry </w:t>
      </w:r>
      <w:r>
        <w:rPr>
          <w:color w:val="000000"/>
          <w:u w:color="000000"/>
        </w:rPr>
        <w:t>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</w:t>
      </w:r>
      <w:r>
        <w:rPr>
          <w:color w:val="000000"/>
          <w:u w:color="000000"/>
        </w:rPr>
        <w:t>hni zabudowy: 50%;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warunki </w:t>
      </w:r>
      <w:r>
        <w:rPr>
          <w:color w:val="000000"/>
          <w:u w:color="000000"/>
        </w:rPr>
        <w:t>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i obowiązująca linia zabudowy – zgodnie z rysunkiem planu, z zastrzeżeniem pkt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wszystkie formy i konstrukcje, przy czym</w:t>
      </w:r>
      <w:r>
        <w:rPr>
          <w:color w:val="000000"/>
          <w:u w:color="000000"/>
        </w:rPr>
        <w:t xml:space="preserve"> dla dachów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dachów spadowych nakaz stosowania wyłącznie dachówki ceramicznej karpiówki układanej w podwójną koronkę lub łuskę, w kolorze naturalnego spieku ceglane</w:t>
      </w:r>
      <w:r>
        <w:rPr>
          <w:color w:val="000000"/>
          <w:u w:color="000000"/>
        </w:rPr>
        <w:t>go, tj. w odcieniach czerwieni lub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realizacji garaży i budynków gospodarczych: wyznaczone 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zakaz realizacji garaży i budynków gospodarczych w </w:t>
      </w:r>
      <w:r>
        <w:rPr>
          <w:color w:val="000000"/>
          <w:u w:color="000000"/>
        </w:rPr>
        <w:t>odległości mniejszej niż 10,0 m od linii rozgraniczających dróg – zakaz  ten nie dotyczy garaży wbudowanych w budynek mieszkalny lub usługowy.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Dla terenu oznaczonego na rysunku planu symbolem 6MU – teren zabudowy mieszkaniowo-usługowej, ustala się</w:t>
      </w:r>
      <w:r>
        <w:rPr>
          <w:color w:val="000000"/>
          <w:u w:color="000000"/>
        </w:rPr>
        <w:t xml:space="preserve">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 budynki gospodarcze towarzyszące realizacji przeznaczenia podstawowego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</w:t>
      </w:r>
      <w:r>
        <w:rPr>
          <w:color w:val="000000"/>
          <w:u w:color="000000"/>
        </w:rPr>
        <w:t>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wskaźnik intensywności </w:t>
      </w:r>
      <w:r>
        <w:rPr>
          <w:color w:val="000000"/>
          <w:u w:color="000000"/>
        </w:rPr>
        <w:t>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 maksymalna wysokość budowli i budynków: 30,0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</w:t>
      </w:r>
      <w:r>
        <w:t>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płaskie.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Dla terenu oznaczonego na rysunku planu symbolem 7MU – teren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oświaty,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domy </w:t>
      </w:r>
      <w:r>
        <w:rPr>
          <w:color w:val="000000"/>
          <w:u w:color="000000"/>
        </w:rPr>
        <w:t>pomocy i opieki społecznej;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realizacji przeznaczenia podstawowego na tej samej działce budowlanej, z </w:t>
      </w:r>
      <w:r>
        <w:rPr>
          <w:color w:val="000000"/>
          <w:u w:color="000000"/>
        </w:rPr>
        <w:t>zastrzeżeniem ust. 4,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</w:t>
      </w:r>
      <w:r>
        <w:rPr>
          <w:color w:val="000000"/>
          <w:u w:color="000000"/>
        </w:rPr>
        <w:t>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</w:t>
      </w:r>
      <w:r>
        <w:rPr>
          <w:color w:val="000000"/>
          <w:u w:color="000000"/>
        </w:rPr>
        <w:t>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obowiązująca linia zabudowy – zgodnie z rysunkiem planu, z zastrzeżeniem pkt 3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budynków o wartościach kulturowych oraz dla rozbudowy tych budynków: dwuspadowe, kąt nachylenia połaci dachowych 45°, położenie głównej kalenicy i głównych połaci dachu prostopadle do frontu działki, tj. obowiązującej linii zabudowy,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</w:t>
      </w:r>
      <w:r>
        <w:rPr>
          <w:color w:val="000000"/>
          <w:u w:color="000000"/>
        </w:rPr>
        <w:t>a pozostałych budynków oraz dla rozbudowy budynków, o których mowa w lit. a, o oranżerie i ogrody zimowe: wszystkie formy i konstrukcje, przy czym dla dachów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dachó</w:t>
      </w:r>
      <w:r>
        <w:rPr>
          <w:color w:val="000000"/>
          <w:u w:color="000000"/>
        </w:rPr>
        <w:t>w, o których mowa w lit. a oraz dla dachów spadowych, o których mowa w lit. b nakaz stosowania wyłącznie dachówki ceramicznej karpiówki układanej w podwójną koronkę lub łuskę, w kolorze naturalnego spieku ceglanego, tj. w odcieniach czerwieni,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</w:t>
      </w:r>
      <w:r>
        <w:rPr>
          <w:color w:val="000000"/>
          <w:u w:color="000000"/>
        </w:rPr>
        <w:t>a realizacji garaży i budynków gospodarczych: wyznaczone 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zakaz realizacji garaży i budynków gospodarczych w odległości mniejszej niż 10,0 m od linii </w:t>
      </w:r>
      <w:r>
        <w:rPr>
          <w:color w:val="000000"/>
          <w:u w:color="000000"/>
        </w:rPr>
        <w:t>rozgraniczających dróg – zakaz ten nie dotyczy garaży wbudowanych w budynek mieszkalny lub usługowy.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>Dla terenu oznaczonego na rysunku planu symbolem 8MU – tereny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</w:t>
      </w:r>
      <w:r>
        <w:rPr>
          <w:color w:val="000000"/>
          <w:u w:color="000000"/>
        </w:rPr>
        <w:t>a mieszkaniowa jednorodzinna realizowana wyłącznie jako budynki wolnostojące,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garaże i budynki </w:t>
      </w:r>
      <w:r>
        <w:rPr>
          <w:color w:val="000000"/>
          <w:u w:color="000000"/>
        </w:rPr>
        <w:t>gospodarcze towarzyszące realizacji przeznaczenia podstawowego na tej samej działce budowlanej, z zastrzeżeniem ust. 4,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</w:t>
      </w:r>
      <w:r>
        <w:rPr>
          <w:color w:val="000000"/>
          <w:u w:color="000000"/>
        </w:rPr>
        <w:t>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</w:t>
      </w:r>
      <w:r>
        <w:rPr>
          <w:color w:val="000000"/>
          <w:u w:color="000000"/>
        </w:rPr>
        <w:t>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</w:t>
      </w:r>
      <w:r>
        <w:rPr>
          <w:color w:val="000000"/>
          <w:u w:color="000000"/>
        </w:rPr>
        <w:t xml:space="preserve">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obowiązująca linia zabudowy – zgodnie z rysunkiem planu, z zastrzeżeniem pkt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budynków o wartościach kulturowych oraz dla rozbudowy tych budynków: dwuspadowe, kąt nachylenia połaci dachowych 45°, położenie głównej kale</w:t>
      </w:r>
      <w:r>
        <w:rPr>
          <w:color w:val="000000"/>
          <w:u w:color="000000"/>
        </w:rPr>
        <w:t>nicy i głównych połaci dachu prostopadle do frontu działki, tj. obowiązującej linii zabudowy,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pozostałych budynków oraz dla rozbudowy budynków, o których mowa w lit. a, o oranżerie i ogrody zimowe: wszystkie formy i konstrukcje, przy czym dla dachów</w:t>
      </w:r>
      <w:r>
        <w:rPr>
          <w:color w:val="000000"/>
          <w:u w:color="000000"/>
        </w:rPr>
        <w:t xml:space="preserve">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dla dachów, o których mowa w lit. a oraz dla dachów spadowych, o których mowa w lit. b nakaz stosowania wyłącznie dachówki ceramicznej karpiówki układanej w podwójną </w:t>
      </w:r>
      <w:r>
        <w:rPr>
          <w:color w:val="000000"/>
          <w:u w:color="000000"/>
        </w:rPr>
        <w:t>koronkę lub łuskę, w kolorze naturalnego spieku ceglanego, tj. w odcieniach czerwieni lub brązu;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realizacji garaży i budynków gospodarczych: wyznaczone obowiązujące linie zabudowy należy traktować jako nieprzekraczalne linie zabudowy.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</w:t>
      </w:r>
      <w:r>
        <w:rPr>
          <w:color w:val="000000"/>
          <w:u w:color="000000"/>
        </w:rPr>
        <w:t>zakaz realizacji garaży i budynków gospodarczych w odległości mniejszej niż 10,0 m od linii rozgraniczających dróg – zakaz ten nie dotyczy garaży wbudowanych w budynek mieszkalny lub usługowy.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color w:val="000000"/>
          <w:u w:color="000000"/>
        </w:rPr>
        <w:t>Dla terenu oznaczonego na rysunku planu symbolem 9MU –</w:t>
      </w:r>
      <w:r>
        <w:rPr>
          <w:color w:val="000000"/>
          <w:u w:color="000000"/>
        </w:rPr>
        <w:t xml:space="preserve"> teren zabudowy mieszkaniowo-usługowej,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wyłącznie jako budynki wolnostojące,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istniejąca zabudowa mieszkaniowa wielorodzinna,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usługi oświaty,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domy pomocy i opieki społecznej;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realizacji przeznaczenia podstawowego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</w:t>
      </w:r>
      <w:r>
        <w:rPr>
          <w:color w:val="000000"/>
          <w:u w:color="000000"/>
        </w:rPr>
        <w:t>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</w:t>
      </w:r>
      <w:r>
        <w:rPr>
          <w:color w:val="000000"/>
          <w:u w:color="000000"/>
        </w:rPr>
        <w:t>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</w:t>
      </w:r>
      <w:r>
        <w:rPr>
          <w:color w:val="000000"/>
          <w:u w:color="000000"/>
        </w:rPr>
        <w:t xml:space="preserve">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t>1. </w:t>
      </w:r>
      <w:r>
        <w:rPr>
          <w:color w:val="000000"/>
          <w:u w:color="000000"/>
        </w:rPr>
        <w:t xml:space="preserve">Dla terenu oznaczonego na rysunku planu </w:t>
      </w:r>
      <w:r>
        <w:rPr>
          <w:color w:val="000000"/>
          <w:u w:color="000000"/>
        </w:rPr>
        <w:t>symbolem 1U – teren zabudowy 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związane z obsługą pojazdów,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garaże i budynki gospodarcze towarzyszące przeznaczeniu </w:t>
      </w:r>
      <w:r>
        <w:rPr>
          <w:color w:val="000000"/>
          <w:u w:color="000000"/>
        </w:rPr>
        <w:t>podstawowemu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</w:t>
      </w:r>
      <w:r>
        <w:rPr>
          <w:color w:val="000000"/>
          <w:u w:color="000000"/>
        </w:rPr>
        <w:t>nie czynnej: 20%;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1,5;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</w:t>
      </w:r>
      <w:r>
        <w:rPr>
          <w:color w:val="000000"/>
          <w:u w:color="000000"/>
        </w:rPr>
        <w:t>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</w:t>
      </w:r>
      <w:r>
        <w:rPr>
          <w:color w:val="000000"/>
          <w:u w:color="000000"/>
        </w:rPr>
        <w:t xml:space="preserve">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t>1. </w:t>
      </w:r>
      <w:r>
        <w:rPr>
          <w:color w:val="000000"/>
          <w:u w:color="000000"/>
        </w:rPr>
        <w:t>Dla terenu oznaczonego na rysunku planu symbolem 2U – teren zabudowy 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oświaty,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hotelarskie,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domy pomocy i opieki społecznej;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lokale mieszkalne wbudowane w budynek usługowy z zastrzeżeniem ust. 2 pkt 5,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usługom lub lokalom mieszkalnym,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</w:t>
      </w:r>
      <w:r>
        <w:rPr>
          <w:color w:val="000000"/>
          <w:u w:color="000000"/>
        </w:rPr>
        <w:t>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1,5;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</w:t>
      </w:r>
      <w:r>
        <w:rPr>
          <w:color w:val="000000"/>
          <w:u w:color="000000"/>
        </w:rPr>
        <w:t>wskaźnik powierzchni zabudowy: 40%;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</w:t>
      </w:r>
      <w:r>
        <w:rPr>
          <w:color w:val="000000"/>
          <w:u w:color="000000"/>
        </w:rPr>
        <w:t>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budynków o wartościach kulturowych oraz dla rozbudowy tych budynków: dwu</w:t>
      </w:r>
      <w:r>
        <w:rPr>
          <w:color w:val="000000"/>
          <w:u w:color="000000"/>
        </w:rPr>
        <w:t>spadowe, kąt nachylenia połaci dachowych 45°, położenie głównej kalenicy i głównych połaci dachu równolegle do nieprzekraczalnych linii zabudowy – odpowiednio dla poszczególnych skrzydeł,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pozostałych budynków oraz dla rozbudowy budynków, o których m</w:t>
      </w:r>
      <w:r>
        <w:rPr>
          <w:color w:val="000000"/>
          <w:u w:color="000000"/>
        </w:rPr>
        <w:t>owa w lit. a, o oranżerie i ogrody zimowe: wszystkie formy i konstrukcje, przy czym dla dachów spadowych kąt nachylenia połaci dachowych do 45°,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zakaz stosowania blachodachówki,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dachów, o których mowa w lit. a oraz dla dachów spadowych, o których</w:t>
      </w:r>
      <w:r>
        <w:rPr>
          <w:color w:val="000000"/>
          <w:u w:color="000000"/>
        </w:rPr>
        <w:t xml:space="preserve"> mowa w lit. b nakaz stosowania wyłącznie dachówki ceramicznej karpiówki układanej w podwójną koronkę lub łuskę, w kolorze naturalnego spieku ceglanego, tj. w odcieniach czerwieni lub brązu.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t>1. </w:t>
      </w:r>
      <w:r>
        <w:rPr>
          <w:color w:val="000000"/>
          <w:u w:color="000000"/>
        </w:rPr>
        <w:t>Dla terenu oznaczonego na rysunku planu symbolem 3U – te</w:t>
      </w:r>
      <w:r>
        <w:rPr>
          <w:color w:val="000000"/>
          <w:u w:color="000000"/>
        </w:rPr>
        <w:t>ren zabudowy usługowej,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drobna wytwórczość;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 budynki gospodarcze towarzyszące przeznaczeniu podstawowemu realizowane na tej samej działce budowlanej,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</w:t>
      </w:r>
      <w:r>
        <w:rPr>
          <w:color w:val="000000"/>
          <w:u w:color="000000"/>
        </w:rPr>
        <w:t>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25%;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wskaźnik intensywności zabudowy: od </w:t>
      </w:r>
      <w:r>
        <w:rPr>
          <w:color w:val="000000"/>
          <w:u w:color="000000"/>
        </w:rPr>
        <w:t>0,01 do 1,5;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</w:t>
      </w:r>
      <w:r>
        <w:rPr>
          <w:color w:val="000000"/>
          <w:u w:color="000000"/>
        </w:rPr>
        <w:t>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color w:val="000000"/>
          <w:u w:color="000000"/>
        </w:rPr>
        <w:t>Dla terenu oznaczonego na rysunku planu symbolem</w:t>
      </w:r>
      <w:r>
        <w:rPr>
          <w:color w:val="000000"/>
          <w:u w:color="000000"/>
        </w:rPr>
        <w:t xml:space="preserve"> 1KS – teren obsługi komunikacji samochodowej, ustala się przeznaczenie podstawowe: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garaże zbiorowe;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miejsca postojowe i parkingi terenowe.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</w:t>
      </w:r>
      <w:r>
        <w:rPr>
          <w:color w:val="000000"/>
          <w:u w:color="000000"/>
        </w:rPr>
        <w:t>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1% – w odniesieniu do całości terenu;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100%;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</w:t>
      </w:r>
      <w:r>
        <w:rPr>
          <w:color w:val="000000"/>
          <w:u w:color="000000"/>
        </w:rPr>
        <w:t>na wysokość budowli: 16,0 m,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garaży: 3,0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obowiązująca linia zabudowy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płaskie.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t>1. </w:t>
      </w:r>
      <w:r>
        <w:rPr>
          <w:color w:val="000000"/>
          <w:u w:color="000000"/>
        </w:rPr>
        <w:t>Dla terenów oznaczonych na rysunku planu symbolami: 1ZL i 2ZL ustala się przeznaczenie: tereny lasów.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terenach, o których mowa w ust. 1 zasady zagospodarowania i ochrony należy prowadzić zgodnie z ustawą z dnia 28 września 1991 r. o lasach.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t>1. </w:t>
      </w:r>
      <w:r>
        <w:rPr>
          <w:color w:val="000000"/>
          <w:u w:color="000000"/>
        </w:rPr>
        <w:t>Dla terenów oznaczonych na rysunku planu symbolami: 1ZN i 2ZN – tereny zieleni nieurządzonej,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tereny zieleni nieurządzonej;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elementy architektury parkowej;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realizacji budynków i obiektów budowlanych, z zastrzeżeniem ust. 1 pkt 2 lit. b i § 5 ust. 1 pkt 2.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wskaźnik </w:t>
      </w:r>
      <w:r>
        <w:rPr>
          <w:color w:val="000000"/>
          <w:u w:color="000000"/>
        </w:rPr>
        <w:t>powierzchni biologicznie czynnej: 80%;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 maksymalna wysokość budowli: 5,0 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39. </w:t>
      </w:r>
      <w:r>
        <w:t>1. </w:t>
      </w:r>
      <w:r>
        <w:rPr>
          <w:color w:val="000000"/>
          <w:u w:color="000000"/>
        </w:rPr>
        <w:t>Dla terenu oznaczonego na rysunku planu symbolem 1ZP – teren zieleni urządzonej,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urządzonej</w:t>
      </w:r>
      <w:r>
        <w:rPr>
          <w:color w:val="000000"/>
          <w:u w:color="000000"/>
        </w:rPr>
        <w:t>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elementy architektury parkowej;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nieurządzonej,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zieleni izolacyjnej.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realizacji budynków i obiektów budowlanych, z zastrzeżeniem ust. 1 pkt 1 lit. b i § 5 ust. 1 pkt 2.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</w:t>
      </w:r>
      <w:r>
        <w:rPr>
          <w:color w:val="000000"/>
          <w:u w:color="000000"/>
        </w:rPr>
        <w:t>kaźniki kształtowania zabudowy oraz zagospodarowania terenu, o którym mowa w ust. 1 – wysokość zabudowy: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80%;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maksymalna wysokość budowli: 5,0 m, z zastrzeżeniem pkt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maksymalna wysokość </w:t>
      </w:r>
      <w:r>
        <w:rPr>
          <w:color w:val="000000"/>
          <w:u w:color="000000"/>
        </w:rPr>
        <w:t>budowli infrastruktury przesyłowej sieci elektroenergetycznej: 30,0 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40. </w:t>
      </w:r>
      <w:r>
        <w:t>1. </w:t>
      </w:r>
      <w:r>
        <w:rPr>
          <w:color w:val="000000"/>
          <w:u w:color="000000"/>
        </w:rPr>
        <w:t>Dla terenów oznaczonych na rysunku planu symbolami: 2ZP i 3ZP – tereny zieleni urządzonej, ustala się przeznaczenie: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elementy ar</w:t>
      </w:r>
      <w:r>
        <w:rPr>
          <w:color w:val="000000"/>
          <w:u w:color="000000"/>
        </w:rPr>
        <w:t>chitektury parkowej;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nieurządzonej,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zieleni izolacyjnej.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realizacji budynków i obiektów budowlanych, z zastrzeżeniem ust. 1 pkt 1 lit. b i § 5 ust. 1 pkt 2.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</w:t>
      </w:r>
      <w:r>
        <w:rPr>
          <w:color w:val="000000"/>
          <w:u w:color="000000"/>
        </w:rPr>
        <w:t>wania zabudowy oraz zagospodarowania terenów, o których mowa w ust. 1: wysokość zabudowy – maksymalna wysokość budowli: 5,0 m.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41. </w:t>
      </w:r>
      <w:r>
        <w:t>1. </w:t>
      </w:r>
      <w:r>
        <w:rPr>
          <w:color w:val="000000"/>
          <w:u w:color="000000"/>
        </w:rPr>
        <w:t>Dla terenu oznaczonego na rysunku planu symbolem 1KDG, ustala się przeznaczenie: teren drogi publicznej klasy głównej.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3,0 m do 25,2 m (przy uwzględnieniu stanu istniejącego), dla części leżącej w granicach miasta Bytomia – zgodnie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42. </w:t>
      </w:r>
      <w:r>
        <w:t>1. </w:t>
      </w:r>
      <w:r>
        <w:rPr>
          <w:color w:val="000000"/>
          <w:u w:color="000000"/>
        </w:rPr>
        <w:t>Dla terenów oznaczonych na rysunku planu symbolami: 1KDZ, 2</w:t>
      </w:r>
      <w:r>
        <w:rPr>
          <w:color w:val="000000"/>
          <w:u w:color="000000"/>
        </w:rPr>
        <w:t>KDZ, 3KDZ i 4KDZ ustala się przeznaczenie: tereny dróg publicznych klasy zbiorczej.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1KDZ: od 20,0 m do 26,0 m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2KDZ: od 9,5 m do 13,1 m (przy uwzgl</w:t>
      </w:r>
      <w:r>
        <w:rPr>
          <w:color w:val="000000"/>
          <w:u w:color="000000"/>
        </w:rPr>
        <w:t>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3KDZ: od 8,2 m do 14,6 m (przy uwzględnieniu stanu istniejącego)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4KDZ: od 8,2 m do 18,5 m (pr</w:t>
      </w:r>
      <w:r>
        <w:rPr>
          <w:color w:val="000000"/>
          <w:u w:color="000000"/>
        </w:rPr>
        <w:t>zy uwzględnieniu stanu istniejącego), z lokalnymi poszerzeniami w obrębie skrzyżowań – zgodnie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43. </w:t>
      </w:r>
      <w:r>
        <w:t>1. </w:t>
      </w:r>
      <w:r>
        <w:rPr>
          <w:color w:val="000000"/>
          <w:u w:color="000000"/>
        </w:rPr>
        <w:t>Dla terenów oznaczonych na rysunku planu symbolami: 1KDL i 2KDL ustala się przeznaczenie: tereny dróg publicznych klasy lokalnej.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1KDL: od 20,0 m do 20,4 m (przy uwzględnieniu stanu istniejącego)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2KDL: od 8,7 m do 13,3 m (przy uwzględnieniu stanu istniejącego), z lokalnymi posze</w:t>
      </w:r>
      <w:r>
        <w:rPr>
          <w:color w:val="000000"/>
          <w:u w:color="000000"/>
        </w:rPr>
        <w:t>rzeniami w obrębie skrzyżowań – zgodnie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44. </w:t>
      </w:r>
      <w:r>
        <w:t>1. </w:t>
      </w:r>
      <w:r>
        <w:rPr>
          <w:color w:val="000000"/>
          <w:u w:color="000000"/>
        </w:rPr>
        <w:t xml:space="preserve">Dla terenów oznaczonych na rysunku planu symbolami: 1KDD, 2KDD, 3KDD, 4KDD, 5KDD, 6KDD, 7KDD, 8KDD, 9KDD, 10KDD, 11KDD, 12KDD, 13KDD i 14KDD ustala się przeznaczenie: tereny dróg </w:t>
      </w:r>
      <w:r>
        <w:rPr>
          <w:color w:val="000000"/>
          <w:u w:color="000000"/>
        </w:rPr>
        <w:t>publicznych klasy dojazdowej.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1KDD: 6,0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2KDD: od 6,0 m d</w:t>
      </w:r>
      <w:r>
        <w:rPr>
          <w:color w:val="000000"/>
          <w:u w:color="000000"/>
        </w:rPr>
        <w:t>o 11,4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3KDD: od 9,6 m do 10,7 m (przy uwzględnieniu stanu istniejącego), z lokalnymi poszerzeniami w obrębie skrzyżowań – z</w:t>
      </w:r>
      <w:r>
        <w:rPr>
          <w:color w:val="000000"/>
          <w:u w:color="000000"/>
        </w:rPr>
        <w:t>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4KDD: od 6,0 m do 13,9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5KDD: od 6,0 m do 6,1 m (przy uwzględnieniu stanu istniejące</w:t>
      </w:r>
      <w:r>
        <w:rPr>
          <w:color w:val="000000"/>
          <w:u w:color="000000"/>
        </w:rPr>
        <w:t>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terenu 6KDD: od 12,6 m do 13,0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dla terenu 7KDD</w:t>
      </w:r>
      <w:r>
        <w:rPr>
          <w:color w:val="000000"/>
          <w:u w:color="000000"/>
        </w:rPr>
        <w:t>: od 9,0 m do 12,6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dla terenu 8KDD: od 5,7 m do 9,9 m (przy uwzględnieniu stanu istniejącego), z lokalnymi poszerzeniami w obrębie skr</w:t>
      </w:r>
      <w:r>
        <w:rPr>
          <w:color w:val="000000"/>
          <w:u w:color="000000"/>
        </w:rPr>
        <w:t>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dla terenu 9KDD: od 6,0 m do 6,4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dla terenu 10KDD: od 5,4 m do 6,8 m (przy uwzględnieniu stan</w:t>
      </w:r>
      <w:r>
        <w:rPr>
          <w:color w:val="000000"/>
          <w:u w:color="000000"/>
        </w:rPr>
        <w:t>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dla terenu 11KDD: od 8,7 m do 15,5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dla terenu 12KDD: od 6,0 m do 9,4 m (przy uwzględnieniu stanu istniejącego), z lokalnymi poszerzeniami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dla terenu 13KDD: od 6,4 m do 7,6 m (przy uwzględnieniu stanu istniejącego), z lokalnymi poszerzeni</w:t>
      </w:r>
      <w:r>
        <w:rPr>
          <w:color w:val="000000"/>
          <w:u w:color="000000"/>
        </w:rPr>
        <w:t>ami w obrębie skrzyżowań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dla terenu 14KDD: od 13,8 m do 17,0 m (przy uwzględnieniu stanu istniejącego), z lokalnymi poszerzeniami w obrębie skrzyżowań – zgodnie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45. </w:t>
      </w:r>
      <w:r>
        <w:t>1. </w:t>
      </w:r>
      <w:r>
        <w:rPr>
          <w:color w:val="000000"/>
          <w:u w:color="000000"/>
        </w:rPr>
        <w:t xml:space="preserve">Dla terenu oznaczonego na rysunku </w:t>
      </w:r>
      <w:r>
        <w:rPr>
          <w:color w:val="000000"/>
          <w:u w:color="000000"/>
        </w:rPr>
        <w:t>planu symbolem 1KDW ustala się przeznaczenie: teren drogi wewnętrznej.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7,9 m do 10,4 m (przy uwzględnieniu stanu istniejącego), z lokalnymi poszerzeniami w obrębie skrzyżowań – zgodnie z rysunkiem pla</w:t>
      </w:r>
      <w:r>
        <w:rPr>
          <w:color w:val="000000"/>
          <w:u w:color="000000"/>
        </w:rPr>
        <w:t>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46. </w:t>
      </w:r>
      <w:r>
        <w:t>1. </w:t>
      </w:r>
      <w:r>
        <w:rPr>
          <w:color w:val="000000"/>
          <w:u w:color="000000"/>
        </w:rPr>
        <w:t>Dla terenów oznaczonych na rysunku planu symbolami: 1KDX i 2KDX ustala się przeznaczenie: tereny publicznych ciągów pieszo-jezdnych.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1KDX: od 5,6 m do 6,2 m (przy uwzględnieniu</w:t>
      </w:r>
      <w:r>
        <w:rPr>
          <w:color w:val="000000"/>
          <w:u w:color="000000"/>
        </w:rPr>
        <w:t xml:space="preserve"> stanu istniejącego), z lokalnymi poszerzeniami w obrębie skrzyżowań – zgodnie z rysunkiem planu, z zastrzeżeniem ust. 3;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2KDX: od 7,1 m do 12,9 m (przy uwzględnieniu stanu istniejącego), z lokalnymi poszerzeniami w obrębie skrzyżowań – zgodn</w:t>
      </w:r>
      <w:r>
        <w:rPr>
          <w:color w:val="000000"/>
          <w:u w:color="000000"/>
        </w:rPr>
        <w:t>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terenu oznaczonego symbolem 1KDX ustala się zakończenie ciągu pieszo-jezdnego placem do zawracania – zgodnie z rysunkiem planu.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47. </w:t>
      </w:r>
      <w:r>
        <w:t>1. </w:t>
      </w:r>
      <w:r>
        <w:rPr>
          <w:color w:val="000000"/>
          <w:u w:color="000000"/>
        </w:rPr>
        <w:t>Dla terenów oznaczonych na rysunku planu symbolami: 1KX, 2KX i 3KX ustala się przeznaczeni</w:t>
      </w:r>
      <w:r>
        <w:rPr>
          <w:color w:val="000000"/>
          <w:u w:color="000000"/>
        </w:rPr>
        <w:t>e: tereny publicznych ciągów pieszych.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1KX: od 4,8 m do 5,2 m (przy uwzględnieniu stanu istniejącego)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dla terenu 2KX: od 5,7 m do 6,2 m (przy uwzględnieniu </w:t>
      </w:r>
      <w:r>
        <w:rPr>
          <w:color w:val="000000"/>
          <w:u w:color="000000"/>
        </w:rPr>
        <w:t>stanu istniejącego) – zgodnie z rysunkiem planu;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3KX: od 2,0 m do 2,7 m (przy uwzględnieniu stanu istniejącego) – zgodnie z rysunkiem planu.</w:t>
      </w:r>
    </w:p>
    <w:p w:rsidR="00A77B3E" w:rsidRDefault="00AC05D5">
      <w:pPr>
        <w:keepNext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49.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</w:t>
      </w:r>
      <w:r>
        <w:rPr>
          <w:color w:val="000000"/>
          <w:u w:color="000000"/>
        </w:rPr>
        <w:t>Śląskiego.</w:t>
      </w:r>
    </w:p>
    <w:p w:rsidR="00A77B3E" w:rsidRDefault="00AC05D5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AC05D5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Nr 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AC05D5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AC05D5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</w:t>
      </w:r>
      <w:r>
        <w:rPr>
          <w:color w:val="000000"/>
          <w:u w:color="000000"/>
        </w:rPr>
        <w:t>zagospodarowaniu przestrzennym (Dz. U. z 2022 r. poz. 1130, z późn. zm.), w związku z art. 67 ust. 3 ustawy z dnia 7 lipca 2023 r. o zmianie ustawy o planowaniu i zagospodarowaniu przestrzennym oraz niektórych innych ustaw (Dz. U. z 2023 r. poz. 1688) rozs</w:t>
      </w:r>
      <w:r>
        <w:rPr>
          <w:color w:val="000000"/>
          <w:u w:color="000000"/>
        </w:rPr>
        <w:t>trzyga się, co następuje: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Nie uwzględnia się uwagi, nieuwzględnionej przez Prezydenta Miasta, zgłoszonej do wyłożonego do publicznego wglądu projektu planu, wyszczególnionej pod nr 1 w „Wykazie uwag wniesionych do wyłożonego do publicznego wglądu </w:t>
      </w:r>
      <w:r>
        <w:rPr>
          <w:color w:val="000000"/>
          <w:u w:color="000000"/>
        </w:rPr>
        <w:t>projektu miejscowego planu zagospodarowania przestrzennego dla terenu położonego w rejonie Placu Jana w Bytomiu”, zamieszczonym w dokumentacji prac planistycznych i dotyczącej zmiany oznaczenia terenu z 36MN na 35MN w zakresie działek nr: 802/3, 804/3, 805</w:t>
      </w:r>
      <w:r>
        <w:rPr>
          <w:color w:val="000000"/>
          <w:u w:color="000000"/>
        </w:rPr>
        <w:t>/3 i 807/3 (obręb Stolarzowice, k. m. 3), z uwagi na fakt, iż uwaga ta jest bezzasadna.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wnioskowane przeznaczenie jest zgodne z aktualnym wyłożonym do publicznego wglądu projektem planu. Przedmi</w:t>
      </w:r>
      <w:r>
        <w:rPr>
          <w:color w:val="000000"/>
          <w:u w:color="000000"/>
        </w:rPr>
        <w:t>otowa nieruchomość zlokalizowana jest na terenie oznaczonym symbolem 36MN – teren zabudowy mieszkaniowej jednorodzinnej, na którym dopuszcza się przebudowę i rozbudowę istniejącej zabudowy mieszkaniowej jednorodzinnej zrealizowanej w formie zabudowy bliźni</w:t>
      </w:r>
      <w:r>
        <w:rPr>
          <w:color w:val="000000"/>
          <w:u w:color="000000"/>
        </w:rPr>
        <w:t>aczej. Przez istniejącą zabudowę należy rozumieć zabudowę wzniesioną przed dniem wejścia w życie planu lub taką, dla której do dnia wejścia w życie planu została wydana prawomocna decyzja o pozwoleniu na budowę – co ma miejsce w tym wypadku. Natomiast zapi</w:t>
      </w:r>
      <w:r>
        <w:rPr>
          <w:color w:val="000000"/>
          <w:u w:color="000000"/>
        </w:rPr>
        <w:t xml:space="preserve">sy terenu oznaczonego symbolem 35MN – teren zabudowy mieszkaniowej jednorodzinnej, w którym przeznaczeniem podstawowym jest zabudowa mieszkaniowa jednorodzinna realizowana wyłącznie jako budynki w zabudowie bliźniaczej dotyczą istniejącego zespołu osiedla </w:t>
      </w:r>
      <w:r>
        <w:rPr>
          <w:color w:val="000000"/>
          <w:u w:color="000000"/>
        </w:rPr>
        <w:t>bliźniaczych domów jednorodzinnych z ogrodami „Wolność” w Stolarzowicach. Ponadto, zapisy te ściśle określają warunki i zasady kształtowania zabudowy oraz zagospodarowania terenu, a w szczególności geometrię dachu oraz materiał jego wykonania.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Nie </w:t>
      </w:r>
      <w:r>
        <w:rPr>
          <w:color w:val="000000"/>
          <w:u w:color="000000"/>
        </w:rPr>
        <w:t xml:space="preserve">uwzględnia się uwagi, nieuwzględnionej przez Prezydenta Miasta, zgłoszonej do ponownie wyłożonego do publicznego wglądu projektu planu, obejmującego jego fragment, wyszczególnionej pod nr 1 w „Wykazie uwag wniesionych do ponownie wyłożonego do publicznego </w:t>
      </w:r>
      <w:r>
        <w:rPr>
          <w:color w:val="000000"/>
          <w:u w:color="000000"/>
        </w:rPr>
        <w:t>wglądu projektu miejscowego planu zagospodarowania przestrzennego dla terenu położonego w rejonie Placu Jana w Bytomiu (fragment)”, zamieszczonym w dokumentacji prac planistycznych i dotyczącej ogólnych ustaleń miejscowego planu zagospodarowania przestrzen</w:t>
      </w:r>
      <w:r>
        <w:rPr>
          <w:color w:val="000000"/>
          <w:u w:color="000000"/>
        </w:rPr>
        <w:t>nego, tj. usunięcia zapisów: „zakazu stosowania blachy trapezowej lub listew z tworzyw sztucznych do wykończenia elewacji budynków”, „zakazu chowu i hodowli zwierząt gospodarskich” i zmiany zapisów w zakresie ochrony wód: „w przypadku naruszenia istniejący</w:t>
      </w:r>
      <w:r>
        <w:rPr>
          <w:color w:val="000000"/>
          <w:u w:color="000000"/>
        </w:rPr>
        <w:t>ch urządzeń wodnych i melioracyjnych, tj. rowów otwartych oraz drenażu, nakaz przebudowy tych urządzeń lub budowy nowych”, „nakazu realizacji obiektów w sposób niepowodujący zmiany stosunków wodnych na obszarze planu”, „nakazu opóźniania spływu wód opadowy</w:t>
      </w:r>
      <w:r>
        <w:rPr>
          <w:color w:val="000000"/>
          <w:u w:color="000000"/>
        </w:rPr>
        <w:t>ch i roztopowych do odbiorników poprzez ich retencjonowanie we własnym zakresie w obrębie działki”.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Nie uwzględnia się uwagi, o której mowa w ust. 1, ponieważ ponownym wyło</w:t>
      </w:r>
      <w:r>
        <w:rPr>
          <w:color w:val="000000"/>
          <w:u w:color="000000"/>
        </w:rPr>
        <w:t>żeniem do publicznego wglądu projektu miejscowego planu zagospodarowania przestrzennego dla terenu położonego w rejonie Placu Jana w Bytomiu (fragment) objęty był jedynie teren oznaczony symbolem 3U – teren zabudowy usługowej, położony w południowo-zachodn</w:t>
      </w:r>
      <w:r>
        <w:rPr>
          <w:color w:val="000000"/>
          <w:u w:color="000000"/>
        </w:rPr>
        <w:t>iej części projektu planu. Teren ten obejmuje działkę nr 1691/206 (obręb Górniki, k. m. 6). Mając na uwadze to, że uwaga wykracza poza obszar objęty wyłożeniem oraz fakt, iż właściciele nieruchomości objętej ponownym wyłożeniem projektu miejscowego planu z</w:t>
      </w:r>
      <w:r>
        <w:rPr>
          <w:color w:val="000000"/>
          <w:u w:color="000000"/>
        </w:rPr>
        <w:t>agospodarowania przestrzennego dla terenu położonego w rejonie Placu Jana w Bytomiu nie kwestionowali zapisów projektu planu w powyższym zakresie, a zapis jest zgodny z wolą właścicieli działki, stanowiącej teren 3U oraz okoliczność, iż przedmiotowa działk</w:t>
      </w:r>
      <w:r>
        <w:rPr>
          <w:color w:val="000000"/>
          <w:u w:color="000000"/>
        </w:rPr>
        <w:t>a jest działką niezabudowaną, Prezydent Miasta, po zapoznaniu się z treścią przedmiotowej uwagi, nie uwzględnił jej.</w:t>
      </w:r>
    </w:p>
    <w:p w:rsidR="00A77B3E" w:rsidRDefault="00AC05D5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t>Załącznik Nr 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AC05D5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Rozstrzygnięcie o sposobie </w:t>
      </w:r>
      <w:r>
        <w:rPr>
          <w:b/>
          <w:color w:val="000000"/>
          <w:u w:color="000000"/>
        </w:rPr>
        <w:t>realizacji, zapisanych w planie inwestycji z zakresu infrastruktury technicznej, które należą do zadań własnych gminy oraz zasadach ich finansowania, zgodnie z przepisami o finansach publicznych</w:t>
      </w:r>
    </w:p>
    <w:p w:rsidR="00A77B3E" w:rsidRDefault="00AC05D5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</w:t>
      </w:r>
      <w:r>
        <w:rPr>
          <w:color w:val="000000"/>
          <w:u w:color="000000"/>
        </w:rPr>
        <w:t>planowaniu i zagospodarowaniu przestrzennym (Dz. U. z 2022 r. poz. 1130, z późn. zm.), w związku z art. 67 ust. 3 ustawy z dnia 7 lipca 2023 r. o zmianie ustawy o planowaniu i zagospodarowaniu przestrzennym oraz niektórych innych ustaw (Dz. U. z 2023 r. po</w:t>
      </w:r>
      <w:r>
        <w:rPr>
          <w:color w:val="000000"/>
          <w:u w:color="000000"/>
        </w:rPr>
        <w:t>z. 1688) rozstrzyga się, co następuje: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 związku z uchwaleniem miejscowego planu zagospodarowania przestrzennego dla terenu położonego w rejonie Placu Jana w Bytomiu, Gmina Bytom może ponieść wydatki na inwestycje z zakresu infrastruktury techniczn</w:t>
      </w:r>
      <w:r>
        <w:rPr>
          <w:color w:val="000000"/>
          <w:u w:color="000000"/>
        </w:rPr>
        <w:t>ej i dróg.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AC05D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– w ramach m. in.: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</w:t>
      </w:r>
      <w:r>
        <w:rPr>
          <w:color w:val="000000"/>
          <w:u w:color="000000"/>
        </w:rPr>
        <w:t> funduszy celowych,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AC05D5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AC05D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Prognozowany okres realizacji inwestycji, wymienionych w § 1 ust. 1 przyjmuje się </w:t>
      </w:r>
      <w:r>
        <w:rPr>
          <w:color w:val="000000"/>
          <w:u w:color="000000"/>
        </w:rPr>
        <w:t>sukcesywnie, w miarę pozyskiwania środków finansowych oraz w oparciu o aktualne potrzeby mieszkańców, określane w budżetach rocznych.</w:t>
      </w:r>
    </w:p>
    <w:p w:rsidR="00A77B3E" w:rsidRDefault="00AC05D5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Zalacznik4.xml</w:t>
        </w:r>
      </w:hyperlink>
    </w:p>
    <w:p w:rsidR="00A77B3E" w:rsidRDefault="00AC05D5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Dane przestrzenne, o których mowa w art. 67a ust. 3 i 5 ustawy z dnia 27 marca 2003 r. o planowaniu i zagospodarowaniu przestrzennym (Dz. U. z</w:t>
      </w:r>
      <w:r>
        <w:rPr>
          <w:b/>
          <w:color w:val="000000"/>
          <w:u w:color="000000"/>
        </w:rPr>
        <w:t> 2024 r. poz. 1130, z późn. zm.) ujawnione zostaną po kliknięciu w ikonę</w:t>
      </w:r>
    </w:p>
    <w:p w:rsidR="00960A24" w:rsidRDefault="00960A24">
      <w:pPr>
        <w:rPr>
          <w:rFonts w:eastAsia="Times New Roman" w:cs="Times New Roman"/>
          <w:szCs w:val="20"/>
        </w:rPr>
      </w:pPr>
    </w:p>
    <w:p w:rsidR="00960A24" w:rsidRDefault="00AC05D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Miejscowy plan zagospodarowania przestrzennego dla terenu położonego w rejonie Placu Jana w Bytomiu opracowany został na podstawie uchwały nr VIII/119/15 Rady Miejskiej </w:t>
      </w:r>
      <w:r>
        <w:rPr>
          <w:rFonts w:eastAsia="Times New Roman" w:cs="Times New Roman"/>
          <w:szCs w:val="20"/>
        </w:rPr>
        <w:t>w Bytomiu z dnia 27 kwietnia 2015 r. w sprawie przystąpienia do sporządzenia miejscowego planu zagospodarowania przestrzennego dla terenu położonego w rejonie Placu Jana w Bytomiu.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objęty projektem planu miejscowego obejmuje powierzchnię ok. 107 ha.</w:t>
      </w:r>
      <w:r>
        <w:rPr>
          <w:rFonts w:eastAsia="Times New Roman" w:cs="Times New Roman"/>
          <w:szCs w:val="20"/>
        </w:rPr>
        <w:t xml:space="preserve"> Granice obszaru wyznaczają: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od północy – granica administracyjna miasta Bytomia,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od południa – ul. Tadeusza Kościuszki i ul. Ptakowicka,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od wschodu – granice nieruchomości zlokalizowanych przy ul. Xawerego Dunikowskiego i ul. Planeta,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od zachodu –</w:t>
      </w:r>
      <w:r>
        <w:rPr>
          <w:rFonts w:eastAsia="Times New Roman" w:cs="Times New Roman"/>
          <w:szCs w:val="20"/>
        </w:rPr>
        <w:t xml:space="preserve"> ul. Żołnierska.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realizacji ww. uchwały został opracowany projekt planu miejscowego wraz z prognozą oddziaływania na środowisko i prognozą skutków finansowych uchwalenia planu miejscowego.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</w:t>
      </w:r>
      <w:r>
        <w:rPr>
          <w:rFonts w:eastAsia="Times New Roman" w:cs="Times New Roman"/>
          <w:szCs w:val="20"/>
        </w:rPr>
        <w:t>anowania przestrzennego, nie narusza on ustaleń „Studium uwarunkowań i kierunków zagospodarowania przestrzennego Gminy Bytom”, przyjętego uchwałą nr XVI/204/11 Rady Miejskiej w Bytomiu z dnia 24 sierpnia 2011 r., zmienionego uchwałą nr X/120/13 Rady Miejsk</w:t>
      </w:r>
      <w:r>
        <w:rPr>
          <w:rFonts w:eastAsia="Times New Roman" w:cs="Times New Roman"/>
          <w:szCs w:val="20"/>
        </w:rPr>
        <w:t>iej w Bytomiu z dnia 25 lutego 2013 r., uchwałą nr XXXVIII/485/17 Rady Miejskiej w Bytomiu z dnia 27 lutego 2017 r., uchwałą nr LXI/814/18 Rady Miejskiej w Bytomiu z dnia 26 marca 2018 r., uchwałą nr LXIV/839/18 Rady Miejskiej w Bytomiu z dnia 28 maja 2018</w:t>
      </w:r>
      <w:r>
        <w:rPr>
          <w:rFonts w:eastAsia="Times New Roman" w:cs="Times New Roman"/>
          <w:szCs w:val="20"/>
        </w:rPr>
        <w:t> r., uchwałą nr XXXII/463/20 Rady Miejskiej w Bytomiu z dnia 28 września 2020 r., uchwałą nr XL/549/21 Rady Miejskiej w Bytomiu z dnia 22 lutego 2021 r., uchwałą nr LXXVI/968/23 Rady Miejskiej w Bytomiu z dnia 27 marca 2023 r., uchwałą nr LXXX/1008/23 Rady</w:t>
      </w:r>
      <w:r>
        <w:rPr>
          <w:rFonts w:eastAsia="Times New Roman" w:cs="Times New Roman"/>
          <w:szCs w:val="20"/>
        </w:rPr>
        <w:t xml:space="preserve"> Miejskiej w Bytomiu z dnia 26 czerwca 2023 r. i uchwałą nr LXXXVI/1078/23 Rady Miejskiej w Bytomiu z dnia 27 listopada 2023 r.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Postępowanie zgodne z ustaleniami planu przyczyni się do poprawy stanu zagospodarowania terenów objętych tym opracowaniem, a prz</w:t>
      </w:r>
      <w:r>
        <w:rPr>
          <w:rFonts w:eastAsia="Times New Roman" w:cs="Times New Roman"/>
          <w:szCs w:val="20"/>
        </w:rPr>
        <w:t>ede wszystkim terenów zabudowy mieszkaniowej jednorodzinnej, mieszkaniowo-usługowej i usługowej oraz umożliwi wprowadzenie nowej zabudowy zgodnej z kierunkami zapisanymi w „Studium uwarunkowań i kierunków zagospodarowania przestrzennego Gminy Bytom”.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</w:t>
      </w:r>
      <w:r>
        <w:rPr>
          <w:rFonts w:eastAsia="Times New Roman" w:cs="Times New Roman"/>
          <w:szCs w:val="20"/>
        </w:rPr>
        <w:t>dura formalno-prawna została przeprowadzona w trybie ustawy z dnia 27 marca 2003 r. o planowaniu i zagospodarowaniu przestrzennym (Dz. U. z 2024 r. poz. 1130, z późn. zm.) oraz w związku z art. 67 ust. 3 ustawy z dnia 7 lipca 2023 r. o zmianie ustawy o pla</w:t>
      </w:r>
      <w:r>
        <w:rPr>
          <w:rFonts w:eastAsia="Times New Roman" w:cs="Times New Roman"/>
          <w:szCs w:val="20"/>
        </w:rPr>
        <w:t>nowaniu i zagospodarowaniu przestrzennym oraz niektórych innych ustaw (Dz. U. z 2023 r. poz. 1688), w szczególności na podstawie art. 17 ww. ustawy o planowaniu i zagospodarowaniu przestrzennym.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</w:t>
      </w:r>
      <w:r>
        <w:rPr>
          <w:rFonts w:eastAsia="Times New Roman" w:cs="Times New Roman"/>
          <w:szCs w:val="20"/>
        </w:rPr>
        <w:t>stawy o planowaniu i zagospodarowaniu przestrzennym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</w:t>
      </w:r>
      <w:r>
        <w:rPr>
          <w:rFonts w:eastAsia="Times New Roman" w:cs="Times New Roman"/>
          <w:szCs w:val="20"/>
        </w:rPr>
        <w:t>towania zabudowy oraz wskaźniki zagospodarowania terenu. Zapisy te zapewniają uwzględnienie w przedmiotowym opracowaniu wymagań ładu przestrzennego, w tym urbanistyki i architektury.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</w:t>
      </w:r>
      <w:r>
        <w:rPr>
          <w:rFonts w:eastAsia="Times New Roman" w:cs="Times New Roman"/>
          <w:szCs w:val="20"/>
        </w:rPr>
        <w:t>ra ustalenia dotyczące zasad kształtowania zabudowy i zagospodarowania terenów, które są czynnikami wpływającymi niewątpliwie na możliwość kształtowania krajobrazu i architektury oraz ochronę występujących walorów tak architektonicznych, jak i krajobrazowy</w:t>
      </w:r>
      <w:r>
        <w:rPr>
          <w:rFonts w:eastAsia="Times New Roman" w:cs="Times New Roman"/>
          <w:szCs w:val="20"/>
        </w:rPr>
        <w:t>ch.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</w:t>
      </w:r>
      <w:r>
        <w:rPr>
          <w:rFonts w:eastAsia="Times New Roman" w:cs="Times New Roman"/>
          <w:szCs w:val="20"/>
        </w:rPr>
        <w:t>odami i ich ochrony, klasyfikacji terenów pod kątem ochrony akustycznej i ochrony przed promieniowaniem elektromagnetycznym, ochrony powietrza, ochrony powierzchni ziemi oraz postępowania z odpadami.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Tereny położone w północnej i zachodniej  części projekt</w:t>
      </w:r>
      <w:r>
        <w:rPr>
          <w:rFonts w:eastAsia="Times New Roman" w:cs="Times New Roman"/>
          <w:szCs w:val="20"/>
        </w:rPr>
        <w:t xml:space="preserve">u planu miejscowego ujęte są w Specjalnym Obszarze Ochrony Siedlisk Natura 2000 „Podziemia Tarnogórsko-Bytomskie”, dla którego ustalono realizację zabudowy i zagospodarowania terenów, w tym lokalizowania inwestycji i przedsięwzięć – zgodnie z planem zadań </w:t>
      </w:r>
      <w:r>
        <w:rPr>
          <w:rFonts w:eastAsia="Times New Roman" w:cs="Times New Roman"/>
          <w:szCs w:val="20"/>
        </w:rPr>
        <w:t>ochronnych wydanym zarządzeniem Regionalnego Dyrektora Ochrony Środowiska w Katowicach z dnia 24 kwietnia 2014 r. w sprawie ustanowienia planu zadań ochronnych dla obszaru Natura 2000 Podziemia Tarnogórsko-Bytomskie PLH240003, zmienionym zarządzeniem Regio</w:t>
      </w:r>
      <w:r>
        <w:rPr>
          <w:rFonts w:eastAsia="Times New Roman" w:cs="Times New Roman"/>
          <w:szCs w:val="20"/>
        </w:rPr>
        <w:t>nalnego Dyrektora Ochrony Środowiska w Katowicach z dnia 18 maja 2015 r. o zmianie zarządzenia w sprawie ustanowienia planu zadań ochronnych dla obszaru Natura 2000 Podziemia Tarnogórsko-Bytomskie PLH240003 oraz zmienionym zarządzeniem Regionalnego Dyrekto</w:t>
      </w:r>
      <w:r>
        <w:rPr>
          <w:rFonts w:eastAsia="Times New Roman" w:cs="Times New Roman"/>
          <w:szCs w:val="20"/>
        </w:rPr>
        <w:t>ra Ochrony Środowiska w Katowicach z dnia 20 lipca 2023 r. o zmianie zarządzenia w sprawie ustanowienia planu zadań ochronnych dla obszaru Natura 2000 Podziemia Tarnogórsko-Bytomskie PLH240003.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miejscowego nie obejmuje gruntów ro</w:t>
      </w:r>
      <w:r>
        <w:rPr>
          <w:rFonts w:eastAsia="Times New Roman" w:cs="Times New Roman"/>
          <w:szCs w:val="20"/>
        </w:rPr>
        <w:t>lnych podlegających ochronie, w związku z czym nie jest wymagane ustalenie zasad ich ochrony.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celu uporządkowania istniejącego stanu zagospodarowania, w trakcie przeprowadzania procedury planistycznej wystąpiono do Ministra Klimatu i Środowiska o zgodę n</w:t>
      </w:r>
      <w:r>
        <w:rPr>
          <w:rFonts w:eastAsia="Times New Roman" w:cs="Times New Roman"/>
          <w:szCs w:val="20"/>
        </w:rPr>
        <w:t>a zmianę przeznaczenia gruntów leśnych na cele nieleśne. Zmiana przeznaczenia gruntów leśnych na cele nieleśne w projekcie miejscowego planu była podyktowana przede wszystkim potrzebą przyszłej realizacji drogi oznaczonej na rysunku projektu planu symbolam</w:t>
      </w:r>
      <w:r>
        <w:rPr>
          <w:rFonts w:eastAsia="Times New Roman" w:cs="Times New Roman"/>
          <w:szCs w:val="20"/>
        </w:rPr>
        <w:t>i: 1 KDL i 1KDZ (wyznaczonej także w obowiązującym „Studium uwarunkowań i kierunków zagospodarowania przestrzennego Gminy Bytom”), łączącej drogi publiczne o kategorii dróg krajowych, tj. ulicę Strzelców Bytomskich z ulicą Żołnierską. Minister Klimatu i Śr</w:t>
      </w:r>
      <w:r>
        <w:rPr>
          <w:rFonts w:eastAsia="Times New Roman" w:cs="Times New Roman"/>
          <w:szCs w:val="20"/>
        </w:rPr>
        <w:t>odowiska pismem nr DLŁ-WNL.8130.100.2024.MP z dnia 15 listopada 2024 r. wydał decyzję wyrażającą zgodę na przeznaczenie wnioskowanego gruntu leśnego na cele nieleśne. Powierzchnia tego gruntu wynosi 0,1440 ha.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</w:t>
      </w:r>
      <w:r>
        <w:rPr>
          <w:rFonts w:eastAsia="Times New Roman" w:cs="Times New Roman"/>
          <w:szCs w:val="20"/>
        </w:rPr>
        <w:t> zabytków oraz dóbr kultury współczesnej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znajdują się budynki o wartościach kulturowych, ujęte w gminnej ewidencji zabytków i objęte ochroną w planie, dla których w celu ich ochrony określono zakazy, nakazy i dopuszczenia. W obszarze planu</w:t>
      </w:r>
      <w:r>
        <w:rPr>
          <w:rFonts w:eastAsia="Times New Roman" w:cs="Times New Roman"/>
          <w:szCs w:val="20"/>
        </w:rPr>
        <w:t xml:space="preserve"> znajdują się także obiekty budowlane o wartościach kulturowych: transformator, wieża ciśnień, ujęte w gminnej ewidencji zabytków i objęte ochroną w planie, dla których – w celu ich ochrony – określono nakazy, zakazy i dopuszczenia. Ponadto, w obszarze pla</w:t>
      </w:r>
      <w:r>
        <w:rPr>
          <w:rFonts w:eastAsia="Times New Roman" w:cs="Times New Roman"/>
          <w:szCs w:val="20"/>
        </w:rPr>
        <w:t>nu występują obiekty małej architektury o wartościach kulturowych – krucyfiksy, ujęte w gminnej ewidencji zabytków i objęte ochroną w planie, dla których, w celu ich ochrony, określono zakazy, nakazy i dopuszczenia.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występują stanowiska ar</w:t>
      </w:r>
      <w:r>
        <w:rPr>
          <w:rFonts w:eastAsia="Times New Roman" w:cs="Times New Roman"/>
          <w:szCs w:val="20"/>
        </w:rPr>
        <w:t>cheologiczne, dla których warunki ochrony określa ustawa z dnia 23 lipca 2003 r. o ochronie zabytków i opiece nad zabytkami.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planem nie występują dobra kultury współczesnej, w związku z czym plan nie ustala wymogów ich ochrony.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</w:t>
      </w:r>
      <w:r>
        <w:rPr>
          <w:rFonts w:eastAsia="Times New Roman" w:cs="Times New Roman"/>
          <w:szCs w:val="20"/>
        </w:rPr>
        <w:t>nia ochrony zdrowia oraz bezpieczeństwa ludzi i mienia, a także potrzeby osób ze szczególnymi potrzebami, o których mowa w ustawie z dnia 19 lipca 2019 r. o zapewnieniu dostępności osobom ze szczególnymi potrzebami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nie wpływa nega</w:t>
      </w:r>
      <w:r>
        <w:rPr>
          <w:rFonts w:eastAsia="Times New Roman" w:cs="Times New Roman"/>
          <w:szCs w:val="20"/>
        </w:rPr>
        <w:t>tywnie na wymagania z zakresu ochrony zdrowia oraz bezpieczeństwa ludzi i mienia, a także potrzeby osób niepełnosprawnych. Zapisy mające na celu ochronę zdrowia oraz bezpieczeństwa ludzi i mienia zawarto m. in. w ustaleniach dotyczących ochrony akustycznej</w:t>
      </w:r>
      <w:r>
        <w:rPr>
          <w:rFonts w:eastAsia="Times New Roman" w:cs="Times New Roman"/>
          <w:szCs w:val="20"/>
        </w:rPr>
        <w:t>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6. Walory ekonomiczne </w:t>
      </w:r>
      <w:r>
        <w:rPr>
          <w:rFonts w:eastAsia="Times New Roman" w:cs="Times New Roman"/>
          <w:szCs w:val="20"/>
        </w:rPr>
        <w:t>przestrzeni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poprzez ustalenie przeznaczenia terenów oraz optymalnych wskaźników zagospodarowania terenu i kształtowania zabudowy, zgodnie z kierunkami określonymi w „Studium uwarunkowań i kierunków zagospodarowania przestrzennego </w:t>
      </w:r>
      <w:r>
        <w:rPr>
          <w:rFonts w:eastAsia="Times New Roman" w:cs="Times New Roman"/>
          <w:szCs w:val="20"/>
        </w:rPr>
        <w:t>Gminy Bytom”, uwzględnia walory ekonomiczne przestrzeni.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projekcie planu dla wszystkich terenów określono stawkę procentową służącą naliczaniu opłaty z tytułu wzrostu wartości nieruchomości w wysokości 30%.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planu</w:t>
      </w:r>
      <w:r>
        <w:rPr>
          <w:rFonts w:eastAsia="Times New Roman" w:cs="Times New Roman"/>
          <w:szCs w:val="20"/>
        </w:rPr>
        <w:t xml:space="preserve"> oraz przeznaczenia poszczególnych terenów wydzielonych liniami rozgraniczającymi uwzględniają poszanowanie prawa własności. Jednakże z uwagi na potrzebę wydzielania nowych dróg publicznych i dostosowywania istniejących do odpowiednich parametrów, może zaj</w:t>
      </w:r>
      <w:r>
        <w:rPr>
          <w:rFonts w:eastAsia="Times New Roman" w:cs="Times New Roman"/>
          <w:szCs w:val="20"/>
        </w:rPr>
        <w:t>ść konieczność pozyskania części nieruchomości niebędących własnością Gminy Bytom.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nie występują tereny ani obiekty służące obronności i bezpieczeństwu państwa. W toku procedury planistycznej</w:t>
      </w:r>
      <w:r>
        <w:rPr>
          <w:rFonts w:eastAsia="Times New Roman" w:cs="Times New Roman"/>
          <w:szCs w:val="20"/>
        </w:rPr>
        <w:t xml:space="preserve"> stosowne organy wojskowe, ochrony granic i bezpieczeństwa państwa zostały zawiadomione o przystąpieniu do sporządzenia przedmiotowego planu, a przedstawiony im projekt planu uzgodniły pozytywnie.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</w:t>
      </w:r>
      <w:r>
        <w:rPr>
          <w:rFonts w:eastAsia="Times New Roman" w:cs="Times New Roman"/>
          <w:szCs w:val="20"/>
        </w:rPr>
        <w:t>zapewnia możliwość spełniania potrzeb ogółu społeczeństwa, w tym m. in. poprzez realizację inwestycji celu publicznego, takich jak: budowa nowych dróg oraz niezbędnej infrastruktury technicznej.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</w:t>
      </w:r>
      <w:r>
        <w:rPr>
          <w:rFonts w:eastAsia="Times New Roman" w:cs="Times New Roman"/>
          <w:szCs w:val="20"/>
        </w:rPr>
        <w:t> szczególności sieci szerokopasmowych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</w:t>
      </w:r>
      <w:r>
        <w:rPr>
          <w:rFonts w:eastAsia="Times New Roman" w:cs="Times New Roman"/>
          <w:szCs w:val="20"/>
        </w:rPr>
        <w:t>rzestrzennego, w tym przy użyciu środków komunikacji elektronicznej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 zostało zrealizowane poprzez: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</w:t>
      </w:r>
      <w:r>
        <w:rPr>
          <w:rFonts w:eastAsia="Times New Roman" w:cs="Times New Roman"/>
          <w:szCs w:val="20"/>
        </w:rPr>
        <w:t>ieszczenie w prasie, w serwisie internetowym miasta oraz w Biuletynie Informacji Publicznej i na tablicy ogłoszeń Urzędu Miejskiego w Bytomiu ogłoszeń i obwieszczeń, o: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planu miejscowego, możliwości składania wniosków, uwag</w:t>
      </w:r>
      <w:r>
        <w:rPr>
          <w:rFonts w:eastAsia="Times New Roman" w:cs="Times New Roman"/>
          <w:szCs w:val="20"/>
        </w:rPr>
        <w:t xml:space="preserve"> oraz możliwości zapoznania się z dokumentacją sprawy,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planu, możliwości składania wniosków, uwag oraz możliwości zapoznania się z niezbędną dokumentacją sprawy oraz udostępnienia projektu planu do wglądu w formi</w:t>
      </w:r>
      <w:r>
        <w:rPr>
          <w:rFonts w:eastAsia="Times New Roman" w:cs="Times New Roman"/>
          <w:szCs w:val="20"/>
        </w:rPr>
        <w:t>e elektronicznej;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13 grudnia 2024 r. do 20 stycznia 2025 r. wyłożenia do publicznego wglądu projektu planu wraz z prognozą oddziaływania na środowisko i zorganizowanie dnia 13 stycznia 2025 r. dyskusji publicznej nad przyjęty</w:t>
      </w:r>
      <w:r>
        <w:rPr>
          <w:rFonts w:eastAsia="Times New Roman" w:cs="Times New Roman"/>
          <w:szCs w:val="20"/>
        </w:rPr>
        <w:t>mi w projekcie planu rozwiązaniami, w dniach od 24 marca 2025 r. do 24 kwietnia 2025 r. ponownego częściowego wyłożenia do publicznego wglądu projektu planu wraz z prognozą oddziaływania na środowisko i zorganizowanie dnia 7 kwietnia 2025 r. dyskusji publi</w:t>
      </w:r>
      <w:r>
        <w:rPr>
          <w:rFonts w:eastAsia="Times New Roman" w:cs="Times New Roman"/>
          <w:szCs w:val="20"/>
        </w:rPr>
        <w:t>cznej nad przyjętymi w projekcie planu rozwiązaniami;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planu w terminie nie krótszym niż 14 dni od daty zakończenia okresu wyłożenia, tj. do 3 lutego 2025 r. (po I wyłożeniu), do 9 maja 2025 r. (po II wyłożeniu).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</w:t>
      </w:r>
      <w:r>
        <w:rPr>
          <w:rFonts w:eastAsia="Times New Roman" w:cs="Times New Roman"/>
          <w:szCs w:val="20"/>
        </w:rPr>
        <w:t xml:space="preserve"> podanym wyżej terminie na składanie uwag, tj. do 3 lutego 2025 r., po I wyłożeniu do publicznego wglądu projektu planu wraz z prognozą oddziaływania na środowisko wpłynęły trzy uwagi: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1) uwaga nr 1 – dotycząca zmiany oznaczenia terenu z 36MN na 35MN </w:t>
      </w:r>
      <w:r>
        <w:rPr>
          <w:rFonts w:eastAsia="Times New Roman" w:cs="Times New Roman"/>
          <w:szCs w:val="20"/>
        </w:rPr>
        <w:t>w zakresie działek nr: 802/3, 804/3, 805/3 i 807/3 (obręb Stolarzowice, k. m. 3) – uwaga została uznana za bezzasadną, ponieważ wnioskowane przeznaczenie jest zgodne z aktualnym wyłożonym do publicznego wglądu projektem planu. Przedmiotowa nieruchomość zlo</w:t>
      </w:r>
      <w:r>
        <w:rPr>
          <w:rFonts w:eastAsia="Times New Roman" w:cs="Times New Roman"/>
          <w:szCs w:val="20"/>
        </w:rPr>
        <w:t>kalizowana jest na terenie oznaczonym symbolem 36MN – teren zabudowy mieszkaniowej jednorodzinnej, na którym dopuszcza się przebudowę i rozbudowę istniejącej zabudowy mieszkaniowej jednorodzinnej zrealizowanej w formie zabudowy bliźniaczej. Przez istniejąc</w:t>
      </w:r>
      <w:r>
        <w:rPr>
          <w:rFonts w:eastAsia="Times New Roman" w:cs="Times New Roman"/>
          <w:szCs w:val="20"/>
        </w:rPr>
        <w:t>ą zabudowę należy rozumieć zabudowę wzniesioną przed dniem wejścia w życie planu lub taką, dla której do dnia wejścia w życie planu została wydana prawomocna decyzja o pozwoleniu na budowę. Zapisy terenu oznaczonego symbolem 35MN – teren zabudowy mieszkani</w:t>
      </w:r>
      <w:r>
        <w:rPr>
          <w:rFonts w:eastAsia="Times New Roman" w:cs="Times New Roman"/>
          <w:szCs w:val="20"/>
        </w:rPr>
        <w:t>owej jednorodzinnej, w którym przeznaczeniem podstawowym jest zabudowa mieszkaniowa jednorodzinna realizowana wyłącznie jako budynki w zabudowie bliźniaczej dotyczą istniejącego zespołu osiedla bliźniaczych domów jednorodzinnych z ogrodami „Wolność” w Stol</w:t>
      </w:r>
      <w:r>
        <w:rPr>
          <w:rFonts w:eastAsia="Times New Roman" w:cs="Times New Roman"/>
          <w:szCs w:val="20"/>
        </w:rPr>
        <w:t>arzowicach. Ponadto, zapisy te ściśle określają warunki i zasady kształtowania zabudowy oraz zagospodarowania terenu, a w szczególności geometrię dachu oraz materiał jego wykonania. Mając na uwadze powyższe, Prezydent Miasta, po zapoznaniu się z treścią pr</w:t>
      </w:r>
      <w:r>
        <w:rPr>
          <w:rFonts w:eastAsia="Times New Roman" w:cs="Times New Roman"/>
          <w:szCs w:val="20"/>
        </w:rPr>
        <w:t>zedmiotowej uwagi, nie uwzględnił jej.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uwaga nr 2 i uwaga nr 3 – dotyczące zmiany przeznaczenia terenu z zabudowy mieszkaniowej jednorodzinnej na zabudowę usługową, usługowo-handlową w zakresie działki nr 1691/206 (obręb Górniki, k. m. 6), zlokalizowane</w:t>
      </w:r>
      <w:r>
        <w:rPr>
          <w:rFonts w:eastAsia="Times New Roman" w:cs="Times New Roman"/>
          <w:szCs w:val="20"/>
        </w:rPr>
        <w:t>j na terenie oznaczonym symbolem 37MN. Mając na uwadze położenie działki, tj. przy drodze krajowej – ul. Żołnierskiej oraz w bezpośrednim sąsiedztwie z ul. Kościuszki, Prezydent Miasta, po zapoznaniu się z treścią przedmiotowych uwag, uwzględnił je w całoś</w:t>
      </w:r>
      <w:r>
        <w:rPr>
          <w:rFonts w:eastAsia="Times New Roman" w:cs="Times New Roman"/>
          <w:szCs w:val="20"/>
        </w:rPr>
        <w:t>ci.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Wprowadzenie zmian – wynikających z treści uwagi nr 2 i uwagi nr 3 – do projektu miejscowego planu zagospodarowania przestrzennego skutkowało ponowieniem procedury planistycznej w niezbędnym zakresie, tj. ponownym wystąpieniem o opinie i uzgodnienia do</w:t>
      </w:r>
      <w:r>
        <w:rPr>
          <w:rFonts w:eastAsia="Times New Roman" w:cs="Times New Roman"/>
          <w:szCs w:val="20"/>
        </w:rPr>
        <w:t xml:space="preserve"> zainteresowanych instytucji i organów oraz przeprowadzeniem ponownego częściowego wyłożenia do publicznego wglądu projektu planu wraz z prognozą oddziaływania na środowisko.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podanym wyżej terminie na składanie uwag, tj. do 9 maja 2025 r., po II wyłożeni</w:t>
      </w:r>
      <w:r>
        <w:rPr>
          <w:rFonts w:eastAsia="Times New Roman" w:cs="Times New Roman"/>
          <w:szCs w:val="20"/>
        </w:rPr>
        <w:t>u do publicznego wglądu projektu planu wraz z prognozą oddziaływania na środowisko – przy czym wyłożenie obejmowało fragment opracowania planistycznego, tj. teren oznaczony symbolem 3U – teren zabudowy usługowej – wpłynęła jedna uwaga: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uwaga nr 1 – doty</w:t>
      </w:r>
      <w:r>
        <w:rPr>
          <w:rFonts w:eastAsia="Times New Roman" w:cs="Times New Roman"/>
          <w:szCs w:val="20"/>
        </w:rPr>
        <w:t>cząca ogólnych zapisów miejscowego planu zagospodarowania przestrzennego, tj. usunięcia zapisów: „zakazu stosowania blachy trapezowej lub listew z tworzyw sztucznych do wykończenia elewacji budynków”, „zakazu chowu i hodowli zwierząt gospodarskich” i zmian</w:t>
      </w:r>
      <w:r>
        <w:rPr>
          <w:rFonts w:eastAsia="Times New Roman" w:cs="Times New Roman"/>
          <w:szCs w:val="20"/>
        </w:rPr>
        <w:t>y zapisów w zakresie ochrony wód: „w przypadku naruszenia istniejących urządzeń wodnych i melioracyjnych, tj. rowów otwartych oraz drenażu, nakaz przebudowy tych urządzeń lub budowy nowych”, „nakazu realizacji obiektów w sposób niepowodujący zmiany stosunk</w:t>
      </w:r>
      <w:r>
        <w:rPr>
          <w:rFonts w:eastAsia="Times New Roman" w:cs="Times New Roman"/>
          <w:szCs w:val="20"/>
        </w:rPr>
        <w:t>ów wodnych na obszarze planu”, „nakazu opóźniania spływu wód opadowych i roztopowych do odbiorników poprzez ich retencjonowanie we własnym zakresie w obrębie działki”. Mając na uwadze to, że uwaga wykracza poza obszar objęty wyłożeniem oraz fakt, iż właści</w:t>
      </w:r>
      <w:r>
        <w:rPr>
          <w:rFonts w:eastAsia="Times New Roman" w:cs="Times New Roman"/>
          <w:szCs w:val="20"/>
        </w:rPr>
        <w:t>ciele nieruchomości objętej ponownym wyłożeniem projektu miejscowego planu zagospodarowania przestrzennego dla terenu położonego w rejonie Placu Jana w Bytomiu nie kwestionowali zapisów projektu planu w powyższym zakresie, a zapis jest zgodny z wolą właści</w:t>
      </w:r>
      <w:r>
        <w:rPr>
          <w:rFonts w:eastAsia="Times New Roman" w:cs="Times New Roman"/>
          <w:szCs w:val="20"/>
        </w:rPr>
        <w:t>cieli działki, stanowiącej teren 3U oraz okoliczność, iż przedmiotowa działka jest działką niezabudowaną, Prezydent Miasta, po zapoznaniu się z treścią przedmiotowej uwagi, nie uwzględnił jej.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</w:t>
      </w:r>
      <w:r>
        <w:rPr>
          <w:rFonts w:eastAsia="Times New Roman" w:cs="Times New Roman"/>
          <w:szCs w:val="20"/>
        </w:rPr>
        <w:t>h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 (Dz. U. z 2024 r. poz. 11</w:t>
      </w:r>
      <w:r>
        <w:rPr>
          <w:rFonts w:eastAsia="Times New Roman" w:cs="Times New Roman"/>
          <w:szCs w:val="20"/>
        </w:rPr>
        <w:t>30, z późn. zm.) oraz w związku z art. 67 ust. 3 ustawy z dnia 7 lipca 2023 r. o zmianie ustawy o planowaniu i zagospodarowaniu przestrzennym oraz niektórych innych ustaw (Dz. U. z 2023 r. poz. 1688), jak również na podstawie art. 21, art. 39 i art. 54 ust</w:t>
      </w:r>
      <w:r>
        <w:rPr>
          <w:rFonts w:eastAsia="Times New Roman" w:cs="Times New Roman"/>
          <w:szCs w:val="20"/>
        </w:rPr>
        <w:t>awy z dnia 3 października 2008 r. o udostępnieniu informacji o środowisku i jego ochronie, udziale społeczeństwa w ochronie środowiska oraz o ocenach oddziaływania na środowisko (Dz. U. z 2024 r. poz. 1112, z późn. zm.).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</w:t>
      </w:r>
      <w:r>
        <w:rPr>
          <w:rFonts w:eastAsia="Times New Roman" w:cs="Times New Roman"/>
          <w:szCs w:val="20"/>
        </w:rPr>
        <w:t>ej ilości i jakości wody, do celów zaopatrzenia ludności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przełożą się na zapewnienie odpowiedniej ilości i jakości wody w stosunku do planowanego zagospodarowania terenó</w:t>
      </w:r>
      <w:r>
        <w:rPr>
          <w:rFonts w:eastAsia="Times New Roman" w:cs="Times New Roman"/>
          <w:szCs w:val="20"/>
        </w:rPr>
        <w:t>w.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publicznym, a interesami prywatnymi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Ustalając przeznaczenie terenu, a także określając sposób </w:t>
      </w:r>
      <w:r>
        <w:rPr>
          <w:rFonts w:eastAsia="Times New Roman" w:cs="Times New Roman"/>
          <w:szCs w:val="20"/>
        </w:rPr>
        <w:t>zagospodarowania i korzystania z terenu, Prezydent Miasta wziął pod uwagę interes publiczny i interesy prywatne oraz ustosunkował się do zgłoszonych wniosków i uwag.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Wymagania ładu przestrzennego, efektywnego gospodarowania przestrzenią oraz walorów ek</w:t>
      </w:r>
      <w:r>
        <w:rPr>
          <w:rFonts w:eastAsia="Times New Roman" w:cs="Times New Roman"/>
          <w:szCs w:val="20"/>
        </w:rPr>
        <w:t>onomicznych przestrzeni, w przypadku sytuowania nowej zabudowy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</w:t>
      </w:r>
      <w:r>
        <w:rPr>
          <w:rFonts w:eastAsia="Times New Roman" w:cs="Times New Roman"/>
          <w:szCs w:val="20"/>
        </w:rPr>
        <w:t>erenów oparto o istniejący system komunikacyjny z uwzględnieniem jego przebudowy oraz rozbudowy o projektowane drogi, umożliwiające obsługę komunikacyjną terenów;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</w:t>
      </w:r>
      <w:r>
        <w:rPr>
          <w:rFonts w:eastAsia="Times New Roman" w:cs="Times New Roman"/>
          <w:szCs w:val="20"/>
        </w:rPr>
        <w:t>akich jak: infrastruktura techniczna, urządzenia budowlane, urządzenia rekreacyjne, dojazdy, ciągi piesze, pieszo-jezdne i ścieżki rowerowe, zieleń urządzona, obiekty małej architektury, elementy Systemu Identyfikacji Miejskiej oraz elementy wyposażenia mi</w:t>
      </w:r>
      <w:r>
        <w:rPr>
          <w:rFonts w:eastAsia="Times New Roman" w:cs="Times New Roman"/>
          <w:szCs w:val="20"/>
        </w:rPr>
        <w:t>ejskiego.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zagospodarowania przestrzennego Gminy Bytom” – nowa zabudowa przyczyni się do bardziej efektywnego wykorzystania terenów.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II. Zgodność z wynikami </w:t>
      </w:r>
      <w:r>
        <w:rPr>
          <w:rFonts w:eastAsia="Times New Roman" w:cs="Times New Roman"/>
          <w:szCs w:val="20"/>
        </w:rPr>
        <w:t>analizy, o której mowa w art. 32 ust. 1 ustawy o planowaniu i zagospodarowaniu przestrzennym wraz z datą uchwały rady gminy, o której mowa w art. 32 ust. 2 ww. ustawy oraz sposób uwzględnienie uniwersalnego projektowania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plan nie wykazuje niezg</w:t>
      </w:r>
      <w:r>
        <w:rPr>
          <w:rFonts w:eastAsia="Times New Roman" w:cs="Times New Roman"/>
          <w:szCs w:val="20"/>
        </w:rPr>
        <w:t>odności z wynikami „Analizy zmian w zagospodarowaniu przestrzennym Gminy Bytom w latach 2018 – 2023”, przyjętej uchwałą nr XCI/1142/24 Rady Miejskiej w Bytomiu z dnia 15 marca 2024 r. W ww. analizie wskazano bowiem m. in. na potrzebę sporządzenia miejscowy</w:t>
      </w:r>
      <w:r>
        <w:rPr>
          <w:rFonts w:eastAsia="Times New Roman" w:cs="Times New Roman"/>
          <w:szCs w:val="20"/>
        </w:rPr>
        <w:t>ch planów zagospodarowania przestrzennego dla terenów nieobjętych planami miejscowymi, z uwzględnieniem obecnych potrzeb rozwoju przestrzennego miasta.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</w:t>
      </w:r>
      <w:r>
        <w:rPr>
          <w:rFonts w:eastAsia="Times New Roman" w:cs="Times New Roman"/>
          <w:szCs w:val="20"/>
        </w:rPr>
        <w:t>chwalenia przedmiotowego miejscowego planu zagospodarowania przestrzennego stwierdzono, że: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przestrzennego dla terenu położonego w rejonie Placu Jana w Bytomiu, jes</w:t>
      </w:r>
      <w:r>
        <w:rPr>
          <w:rFonts w:eastAsia="Times New Roman" w:cs="Times New Roman"/>
          <w:szCs w:val="20"/>
        </w:rPr>
        <w:t>t dodatni, co wynika ze spodziewanych wydatków ze strony Gminy Bytom oraz uzyskania przez nią dochodów, w myśl projektu planu oraz założeń przyjętych w prognozie;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głównym kosztem jest realizacja zadań własnych Gminy, do których należy m. in. budowa infr</w:t>
      </w:r>
      <w:r>
        <w:rPr>
          <w:rFonts w:eastAsia="Times New Roman" w:cs="Times New Roman"/>
          <w:szCs w:val="20"/>
        </w:rPr>
        <w:t>astruktury technicznej oraz dróg publicznych. W związku z możliwością pozyskania środków zewnętrznych na budowę dróg i sieci uzbrojenia terenów, wskaźnik ekonomiczny inwestycji może ulec poprawie;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ze względu na aktualną strukturę własności, grunty stano</w:t>
      </w:r>
      <w:r>
        <w:rPr>
          <w:rFonts w:eastAsia="Times New Roman" w:cs="Times New Roman"/>
          <w:szCs w:val="20"/>
        </w:rPr>
        <w:t>wiące własność lub użytkowanie wieczyste Gminy Bytom mogą przynieść jej dochód z tytułu ich sprzedaży oraz z tytułu podatków od nieruchomości, które przyszły nabywca będzie opłacać;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obszar położony w granicach przedmiotowego projektu planu posiada spory</w:t>
      </w:r>
      <w:r>
        <w:rPr>
          <w:rFonts w:eastAsia="Times New Roman" w:cs="Times New Roman"/>
          <w:szCs w:val="20"/>
        </w:rPr>
        <w:t xml:space="preserve"> potencjał z uwagi na: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tereny wolne od zabudowy, które mogą zostać zabudowane zgodnie z przeznaczeniem wskazanym w projekcie planu,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lokalizację w sąsiedztwie terenów zieleni i terenów lasów,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c) dobre skomunikowanie z centrum Bytomia oraz sąsiadującym</w:t>
      </w:r>
      <w:r>
        <w:rPr>
          <w:rFonts w:eastAsia="Times New Roman" w:cs="Times New Roman"/>
          <w:szCs w:val="20"/>
        </w:rPr>
        <w:t>i miastami: Zabrzem i Tarnowskimi Górami;</w:t>
      </w:r>
    </w:p>
    <w:p w:rsidR="00960A24" w:rsidRDefault="00AC05D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 uwagi na fakt, iż nie ma możliwości dokładnego określenia powierzchni użytkowych budynków, które mogą zostać wybudowane na gruntach inwestycyjnych, w prognozie skutków finansowych uchwalenia planu nie uwzględn</w:t>
      </w:r>
      <w:r>
        <w:rPr>
          <w:rFonts w:eastAsia="Times New Roman" w:cs="Times New Roman"/>
          <w:szCs w:val="20"/>
        </w:rPr>
        <w:t>iono wpływów z tytułu podatków od nieruchomości za budynki i budowle. Niemniej jednak, możliwość uzyskania w przyszłości podatku od nieruchomości wpłynie korzystnie na wynik finansowy przedmiotowego planu miejscowego.</w:t>
      </w:r>
    </w:p>
    <w:sectPr w:rsidR="00960A24" w:rsidSect="00960A24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A24" w:rsidRDefault="00960A24" w:rsidP="00960A24">
      <w:r>
        <w:separator/>
      </w:r>
    </w:p>
  </w:endnote>
  <w:endnote w:type="continuationSeparator" w:id="0">
    <w:p w:rsidR="00960A24" w:rsidRDefault="00960A24" w:rsidP="00960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0A2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rPr>
              <w:sz w:val="18"/>
            </w:rPr>
          </w:pPr>
          <w:r>
            <w:rPr>
              <w:sz w:val="18"/>
            </w:rPr>
            <w:t>Id: 92A72FB9-4E91-443F-AC04-BCCE2DE507</w:t>
          </w:r>
          <w:r>
            <w:rPr>
              <w:sz w:val="18"/>
            </w:rPr>
            <w:t>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0A24" w:rsidRDefault="00AC05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0A2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0A24">
            <w:rPr>
              <w:sz w:val="18"/>
            </w:rPr>
            <w:fldChar w:fldCharType="end"/>
          </w:r>
        </w:p>
      </w:tc>
    </w:tr>
  </w:tbl>
  <w:p w:rsidR="00960A24" w:rsidRDefault="00960A2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A24" w:rsidRDefault="00960A24" w:rsidP="00960A24">
      <w:r>
        <w:separator/>
      </w:r>
    </w:p>
  </w:footnote>
  <w:footnote w:type="continuationSeparator" w:id="0">
    <w:p w:rsidR="00960A24" w:rsidRDefault="00960A24" w:rsidP="00960A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60A24"/>
    <w:rsid w:val="00A77B3E"/>
    <w:rsid w:val="00AC05D5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0A2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x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16272</Words>
  <Characters>97632</Characters>
  <Application>Microsoft Office Word</Application>
  <DocSecurity>0</DocSecurity>
  <Lines>813</Lines>
  <Paragraphs>227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113677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 dla terenu położonego w^rejonie Placu Jana w^Bytomiu</dc:subject>
  <dc:creator>jkargol</dc:creator>
  <cp:lastModifiedBy>asteuer</cp:lastModifiedBy>
  <cp:revision>2</cp:revision>
  <dcterms:created xsi:type="dcterms:W3CDTF">2025-05-15T09:06:00Z</dcterms:created>
  <dcterms:modified xsi:type="dcterms:W3CDTF">2025-05-15T09:06:00Z</dcterms:modified>
  <cp:category>Akt prawny</cp:category>
</cp:coreProperties>
</file>