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XVI/133/25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28 kwietnia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XII/100/24 Rady Miejskiej w Bytomiu w sprawie wieloletniej prognozy finansowej miasta Bytomia na lata 2025-2046</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11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ustawy</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107,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231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1530,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XII/100/24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wieloletniej prognozy finansowej miasta Bytomia na lata 2025-2046,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pn.</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„Wykaz przedsięwzięć wieloletnich” dodaje się pozycje nr: 1.1.1.32, 1.1.1.33, 1.1.2.13, 1.3.1.35, 1.3.1.36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1.3.2.36, zmienia się pozycje nr: 1.1.1.5-1.1.1.7, 1.1.1.9, 1.1.1.13-1.1.1.15, 1.1.1.19-1.1.1.21, 1.1.1.23, 1.1.1.25, 1.1.1.27, 1.1.2.5, 1.1.2.7, 1.1.2.9, 1.3.1.2, 1.3.1.3, 1.3.1.6, 1.3.1.8, 1.3.1.10, 1.3.1.28, 1.3.1.34, 1.3.2.9, 1.3.2.13, 1.3.2.15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1.3.2.24 oraz usuwa się pozycję nr 1.3.2.16 -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brzmieniu jak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do niniejszej uchwały.</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 </w:t>
      </w: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pPr>
    </w:p>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280" w:after="280" w:line="276" w:lineRule="auto"/>
        <w:ind w:left="4535" w:right="0" w:firstLine="0"/>
        <w:jc w:val="left"/>
        <w:rPr>
          <w:rFonts w:ascii="Arial" w:eastAsia="Arial" w:hAnsi="Arial" w:cs="Arial"/>
          <w:b w:val="0"/>
          <w:i w:val="0"/>
          <w:caps w:val="0"/>
          <w:strike w:val="0"/>
          <w:color w:val="auto"/>
          <w:sz w:val="24"/>
          <w:u w:val="none"/>
          <w:vertAlign w:val="baseline"/>
        </w:rPr>
      </w:pPr>
      <w:r>
        <w:t>Załącznik do uchwały</w:t>
      </w:r>
      <w:r>
        <w:t xml:space="preserve"> Nr XVI/133/25</w:t>
      </w:r>
      <w:r>
        <w:rPr>
          <w:rFonts w:ascii="Arial" w:eastAsia="Arial" w:hAnsi="Arial" w:cs="Arial"/>
          <w:b w:val="0"/>
          <w:i w:val="0"/>
          <w:caps w:val="0"/>
          <w:strike w:val="0"/>
          <w:color w:val="auto"/>
          <w:sz w:val="24"/>
          <w:u w:val="none"/>
          <w:vertAlign w:val="baseline"/>
        </w:rPr>
        <w:br/>
      </w:r>
      <w:r>
        <w:t>Rady Miejskiej w Bytomiu</w:t>
      </w:r>
      <w:r>
        <w:rPr>
          <w:rFonts w:ascii="Arial" w:eastAsia="Arial" w:hAnsi="Arial" w:cs="Arial"/>
          <w:b w:val="0"/>
          <w:i w:val="0"/>
          <w:caps w:val="0"/>
          <w:strike w:val="0"/>
          <w:color w:val="auto"/>
          <w:sz w:val="24"/>
          <w:u w:val="none"/>
          <w:vertAlign w:val="baseline"/>
        </w:rPr>
        <w:br/>
      </w:r>
      <w:r>
        <w:rPr>
          <w:rFonts w:ascii="Arial" w:eastAsia="Arial" w:hAnsi="Arial" w:cs="Arial"/>
          <w:sz w:val="24"/>
        </w:rPr>
        <w:t>z dnia 28 kwietnia 2025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2"/>
        <w:gridCol w:w="2626"/>
        <w:gridCol w:w="1040"/>
        <w:gridCol w:w="278"/>
        <w:gridCol w:w="304"/>
        <w:gridCol w:w="724"/>
        <w:gridCol w:w="638"/>
        <w:gridCol w:w="638"/>
        <w:gridCol w:w="638"/>
        <w:gridCol w:w="638"/>
        <w:gridCol w:w="638"/>
        <w:gridCol w:w="638"/>
        <w:gridCol w:w="66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80"/>
        </w:trPr>
        <w:tc>
          <w:tcPr>
            <w:tcW w:w="402" w:type="dxa"/>
            <w:tcBorders>
              <w:top w:val="nil"/>
              <w:left w:val="nil"/>
              <w:bottom w:val="nil"/>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1938" w:type="dxa"/>
            <w:gridSpan w:val="3"/>
            <w:vMerge w:val="restart"/>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Załącznik do uchwały nr XVI/133/25 
Rady Miejskiej w Bytomiu
z dnia 28 kwietnia 2025 r. 
stanowiący jednocześnie 
załącznik nr 2
do uchwały nr XII/100/24
Rady Miejskiej w Bytomiu
z dnia 16 grudnia 2024 r.  
"   
</w:t>
            </w:r>
          </w:p>
        </w:tc>
      </w:tr>
      <w:tr>
        <w:tblPrEx>
          <w:tblW w:w="5000" w:type="pct"/>
          <w:tblCellMar>
            <w:left w:w="108" w:type="dxa"/>
            <w:right w:w="108" w:type="dxa"/>
          </w:tblCellMar>
        </w:tblPrEx>
        <w:trPr>
          <w:trHeight w:val="272"/>
        </w:trPr>
        <w:tc>
          <w:tcPr>
            <w:tcW w:w="402" w:type="dxa"/>
            <w:tcBorders>
              <w:top w:val="nil"/>
              <w:left w:val="nil"/>
              <w:bottom w:val="nil"/>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1938" w:type="dxa"/>
            <w:gridSpan w:val="3"/>
            <w:vMerge/>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54"/>
        </w:trPr>
        <w:tc>
          <w:tcPr>
            <w:tcW w:w="402" w:type="dxa"/>
            <w:tcBorders>
              <w:top w:val="nil"/>
              <w:left w:val="nil"/>
              <w:bottom w:val="nil"/>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1938" w:type="dxa"/>
            <w:gridSpan w:val="3"/>
            <w:vMerge/>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92"/>
        </w:trPr>
        <w:tc>
          <w:tcPr>
            <w:tcW w:w="402" w:type="dxa"/>
            <w:tcBorders>
              <w:top w:val="nil"/>
              <w:left w:val="nil"/>
              <w:bottom w:val="nil"/>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nil"/>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1938" w:type="dxa"/>
            <w:gridSpan w:val="3"/>
            <w:vMerge/>
            <w:tcBorders>
              <w:top w:val="nil"/>
              <w:left w:val="nil"/>
              <w:bottom w:val="nil"/>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9864" w:type="dxa"/>
            <w:gridSpan w:val="13"/>
            <w:tcBorders>
              <w:top w:val="nil"/>
              <w:left w:val="nil"/>
              <w:bottom w:val="nil"/>
              <w:right w:val="nil"/>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WYKAZ  PRZEDSIĘWZIĘĆ WIELOLETNICH</w:t>
            </w:r>
          </w:p>
        </w:tc>
      </w:tr>
      <w:tr>
        <w:tblPrEx>
          <w:tblW w:w="5000" w:type="pct"/>
          <w:tblCellMar>
            <w:left w:w="108" w:type="dxa"/>
            <w:right w:w="108" w:type="dxa"/>
          </w:tblCellMar>
        </w:tblPrEx>
        <w:trPr>
          <w:trHeight w:val="192"/>
        </w:trPr>
        <w:tc>
          <w:tcPr>
            <w:tcW w:w="402"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626"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304"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724"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tcBorders>
              <w:top w:val="nil"/>
              <w:left w:val="nil"/>
              <w:bottom w:val="nil"/>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44"/>
        </w:trPr>
        <w:tc>
          <w:tcPr>
            <w:tcW w:w="402" w:type="dxa"/>
            <w:tcBorders>
              <w:top w:val="nil"/>
              <w:left w:val="nil"/>
              <w:bottom w:val="single" w:sz="2" w:space="0" w:color="000000"/>
              <w:right w:val="nil"/>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2626" w:type="dxa"/>
            <w:tcBorders>
              <w:top w:val="nil"/>
              <w:left w:val="nil"/>
              <w:bottom w:val="single" w:sz="2" w:space="0" w:color="000000"/>
              <w:right w:val="nil"/>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p>
        </w:tc>
        <w:tc>
          <w:tcPr>
            <w:tcW w:w="1040" w:type="dxa"/>
            <w:tcBorders>
              <w:top w:val="nil"/>
              <w:left w:val="nil"/>
              <w:bottom w:val="single" w:sz="2" w:space="0" w:color="000000"/>
              <w:right w:val="nil"/>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tcBorders>
              <w:top w:val="nil"/>
              <w:left w:val="nil"/>
              <w:bottom w:val="single" w:sz="2" w:space="0" w:color="000000"/>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304" w:type="dxa"/>
            <w:tcBorders>
              <w:top w:val="nil"/>
              <w:left w:val="nil"/>
              <w:bottom w:val="single" w:sz="2" w:space="0" w:color="000000"/>
              <w:right w:val="nil"/>
              <w:tl2br w:val="nil"/>
              <w:tr2bl w:val="nil"/>
            </w:tcBorders>
            <w:shd w:val="clear" w:color="auto" w:fill="auto"/>
            <w:vAlign w:val="top"/>
          </w:tcPr>
          <w:p>
            <w:pPr>
              <w:jc w:val="center"/>
              <w:rPr>
                <w:rFonts w:ascii="Arial" w:eastAsia="Arial" w:hAnsi="Arial" w:cs="Arial"/>
                <w:b w:val="0"/>
                <w:i w:val="0"/>
                <w:strike w:val="0"/>
                <w:color w:val="000000"/>
                <w:sz w:val="14"/>
                <w:u w:val="none"/>
                <w:vertAlign w:val="baseline"/>
              </w:rPr>
            </w:pPr>
          </w:p>
        </w:tc>
        <w:tc>
          <w:tcPr>
            <w:tcW w:w="724"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38"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c>
          <w:tcPr>
            <w:tcW w:w="662" w:type="dxa"/>
            <w:tcBorders>
              <w:top w:val="nil"/>
              <w:left w:val="nil"/>
              <w:bottom w:val="single" w:sz="2" w:space="0" w:color="000000"/>
              <w:right w:val="nil"/>
              <w:tl2br w:val="nil"/>
              <w:tr2bl w:val="nil"/>
            </w:tcBorders>
            <w:shd w:val="clear" w:color="auto" w:fill="auto"/>
            <w:vAlign w:val="top"/>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6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Lp</w:t>
            </w:r>
          </w:p>
        </w:tc>
        <w:tc>
          <w:tcPr>
            <w:tcW w:w="2626" w:type="dxa"/>
            <w:vMerge w:val="restart"/>
            <w:tcBorders>
              <w:top w:val="single" w:sz="2" w:space="0" w:color="000000"/>
              <w:left w:val="single" w:sz="2" w:space="0" w:color="000000"/>
              <w:bottom w:val="nil"/>
              <w:right w:val="single" w:sz="2" w:space="0" w:color="000000"/>
              <w:tl2br w:val="nil"/>
              <w:tr2bl w:val="nil"/>
            </w:tcBorders>
            <w:shd w:val="clear" w:color="auto" w:fill="auto"/>
            <w:vAlign w:val="top"/>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Nazwa i cel</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Jednostka odpowiedzialna lub koordynująca program</w:t>
            </w:r>
          </w:p>
        </w:tc>
        <w:tc>
          <w:tcPr>
            <w:tcW w:w="58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Okres realizacji programu</w:t>
            </w:r>
          </w:p>
        </w:tc>
        <w:tc>
          <w:tcPr>
            <w:tcW w:w="72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Łączne nakłady finansowe</w:t>
            </w:r>
          </w:p>
        </w:tc>
        <w:tc>
          <w:tcPr>
            <w:tcW w:w="3828" w:type="dxa"/>
            <w:gridSpan w:val="6"/>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Limit zobowiązań</w:t>
            </w:r>
          </w:p>
        </w:tc>
      </w:tr>
      <w:tr>
        <w:tblPrEx>
          <w:tblW w:w="5000" w:type="pct"/>
          <w:tblCellMar>
            <w:left w:w="108" w:type="dxa"/>
            <w:right w:w="108" w:type="dxa"/>
          </w:tblCellMar>
        </w:tblPrEx>
        <w:trPr>
          <w:trHeight w:val="1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2626" w:type="dxa"/>
            <w:vMerge/>
            <w:tcBorders>
              <w:top w:val="nil"/>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i w:val="0"/>
                <w:strike w:val="0"/>
                <w:color w:val="000000"/>
                <w:sz w:val="14"/>
                <w:u w:val="none"/>
                <w:vertAlign w:val="baseline"/>
              </w:rPr>
            </w:pP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c>
          <w:tcPr>
            <w:tcW w:w="27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od</w:t>
            </w:r>
          </w:p>
        </w:tc>
        <w:tc>
          <w:tcPr>
            <w:tcW w:w="30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do</w:t>
            </w:r>
          </w:p>
        </w:tc>
        <w:tc>
          <w:tcPr>
            <w:tcW w:w="72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2029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2030</w:t>
            </w: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przedsięwzięcia – ogółem (1.1+1.2+1.3),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346 524 136</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91 732 840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47 312 920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28 357 230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12 167 984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112 815 132</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1.a</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214 570 142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46 665 920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29 006 905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18 817 932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57 096 830</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1.b</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131 953 994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45 066 920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18 306 015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9 539 298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12 167 984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55 718 302</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programy, projekty lub zadania związane z programami realizowanymi 
z udziałem środków, o których mowa w art. 5 ust.1 pkt 2 i 3 ustawy z dnia 27 sierpnia 2009 r. o finansach publicznych (Dz.U. z 2019 poz. 869, z późn. zm.),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123 515 137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37 523 765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18 981 188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10 887 877</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12 167 984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65 429 772</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20 318 632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15 451 770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2 653 771</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1 348 579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bottom"/>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14 150 735</w:t>
            </w:r>
          </w:p>
        </w:tc>
      </w:tr>
      <w:tr>
        <w:tblPrEx>
          <w:tblW w:w="5000" w:type="pct"/>
          <w:tblCellMar>
            <w:left w:w="108" w:type="dxa"/>
            <w:right w:w="108" w:type="dxa"/>
          </w:tblCellMar>
        </w:tblPrEx>
        <w:trPr>
          <w:trHeight w:val="16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Europa otwarta dla Technikum nr 4</w:t>
            </w:r>
          </w:p>
        </w:tc>
        <w:tc>
          <w:tcPr>
            <w:tcW w:w="1040"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254 997</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254 997</w:t>
            </w: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134 574</w:t>
            </w:r>
          </w:p>
        </w:tc>
      </w:tr>
      <w:tr>
        <w:tblPrEx>
          <w:tblW w:w="5000" w:type="pct"/>
          <w:tblCellMar>
            <w:left w:w="108" w:type="dxa"/>
            <w:right w:w="108" w:type="dxa"/>
          </w:tblCellMar>
        </w:tblPrEx>
        <w:trPr>
          <w:trHeight w:val="49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i budowanie systemu jakości pracy szkoły, zapewniającego zaspokojenie potrzeb uczniów w zakresie wychowania, kształcenia i rozwoju zawodowego</w:t>
            </w:r>
          </w:p>
        </w:tc>
        <w:tc>
          <w:tcPr>
            <w:tcW w:w="1040"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w zagranicznych przedsiębiorstwach dla uczniów ZST</w:t>
            </w:r>
          </w:p>
        </w:tc>
        <w:tc>
          <w:tcPr>
            <w:tcW w:w="1040"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258 741</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223 952</w:t>
            </w: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51 069</w:t>
            </w:r>
          </w:p>
        </w:tc>
      </w:tr>
      <w:tr>
        <w:tblPrEx>
          <w:tblW w:w="5000" w:type="pct"/>
          <w:tblCellMar>
            <w:left w:w="108" w:type="dxa"/>
            <w:right w:w="108" w:type="dxa"/>
          </w:tblCellMar>
        </w:tblPrEx>
        <w:trPr>
          <w:trHeight w:val="35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w:t>
            </w:r>
          </w:p>
        </w:tc>
        <w:tc>
          <w:tcPr>
            <w:tcW w:w="1040"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Kompetencje zawodowe na całe życie - zagraniczne staże zawodowe dla uczniów i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Gastronomiczno - Hotelarskich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283 150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228 150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161 930</w:t>
            </w:r>
          </w:p>
        </w:tc>
      </w:tr>
      <w:tr>
        <w:tblPrEx>
          <w:tblW w:w="5000" w:type="pct"/>
          <w:tblCellMar>
            <w:left w:w="108" w:type="dxa"/>
            <w:right w:w="108" w:type="dxa"/>
          </w:tblCellMar>
        </w:tblPrEx>
        <w:trPr>
          <w:trHeight w:val="47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 oraz podniesienie kompetencji językowych przez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6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Centrum Wsparcia Rodziny - CWR I</w:t>
            </w:r>
          </w:p>
        </w:tc>
        <w:tc>
          <w:tcPr>
            <w:tcW w:w="1040"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3 422 403</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1 308 335</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1 261 573</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726 042</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1 662 530</w:t>
            </w:r>
          </w:p>
        </w:tc>
      </w:tr>
      <w:tr>
        <w:tblPrEx>
          <w:tblW w:w="5000" w:type="pct"/>
          <w:tblCellMar>
            <w:left w:w="108" w:type="dxa"/>
            <w:right w:w="108" w:type="dxa"/>
          </w:tblCellMar>
        </w:tblPrEx>
        <w:trPr>
          <w:trHeight w:val="484"/>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podniesienie jakości oraz dostępności usług wsparcia dla rodzin, w tym rodzin przeżywających trudności w wypełnianiu funkcji opiekuńczo-wychowawczych lub w kryzysie oraz dla dzieci powracających do rodzin biologicznych</w:t>
            </w:r>
          </w:p>
        </w:tc>
        <w:tc>
          <w:tcPr>
            <w:tcW w:w="1040"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Czas na zmiany-nowe perspektywy (RAZEM)
z Centrum Integracji Społecznej</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 Urząd Miejski
w Bytomiu, Wydział Polityki Społecznej, Centrum Integracji Społecznej</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1 126 098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578 202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415 552</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194 887</w:t>
            </w:r>
          </w:p>
        </w:tc>
      </w:tr>
      <w:tr>
        <w:tblPrEx>
          <w:tblW w:w="5000" w:type="pct"/>
          <w:tblCellMar>
            <w:left w:w="108" w:type="dxa"/>
            <w:right w:w="108" w:type="dxa"/>
          </w:tblCellMar>
        </w:tblPrEx>
        <w:trPr>
          <w:trHeight w:val="36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Odbudowanie zdolności do samodzielnego świadczenia pracy oraz pełnienia ról społecznych mieszkańców Bytomia</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Biznes na zicher-100 tysięcy na start </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Powiatowy Urząd Pracy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5 363 054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5 292 430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54 077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5 311 346</w:t>
            </w:r>
          </w:p>
        </w:tc>
      </w:tr>
      <w:tr>
        <w:tblPrEx>
          <w:tblW w:w="5000" w:type="pct"/>
          <w:tblCellMar>
            <w:left w:w="108" w:type="dxa"/>
            <w:right w:w="108" w:type="dxa"/>
          </w:tblCellMar>
        </w:tblPrEx>
        <w:trPr>
          <w:trHeight w:val="80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Powstanie 44 nowych firm, trwałych działalności gospodarczych poprzez wsparcie w założeniu i prowadzeniu firm 26 kobiet i 18 mężczyzn pracujących lub zamieszkujących na terenie miasta Bytomia dotkniętych procesem transformacji, których status na rynku pracy pozwala na skorzystanie z instrumentu outplacement. Grupa docelowa to osoby zagrożone utratą pracy, przewidziane do zwolnienia lub zwolnione z przyczyn niedotyczących pracownika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4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Razem do celu</w:t>
            </w:r>
          </w:p>
        </w:tc>
        <w:tc>
          <w:tcPr>
            <w:tcW w:w="1040"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Miejski Ośrodek Pomocy Rodzinie</w:t>
            </w:r>
          </w:p>
        </w:tc>
        <w:tc>
          <w:tcPr>
            <w:tcW w:w="27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1 880 578</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652 143</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625 901</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602 534</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1 646 340</w:t>
            </w:r>
          </w:p>
        </w:tc>
      </w:tr>
      <w:tr>
        <w:tblPrEx>
          <w:tblW w:w="5000" w:type="pct"/>
          <w:tblCellMar>
            <w:left w:w="108" w:type="dxa"/>
            <w:right w:w="108" w:type="dxa"/>
          </w:tblCellMar>
        </w:tblPrEx>
        <w:trPr>
          <w:trHeight w:val="21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Aktywizacja społeczna i zawodowa uczestników projektu</w:t>
            </w:r>
          </w:p>
        </w:tc>
        <w:tc>
          <w:tcPr>
            <w:tcW w:w="1040"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8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1.1.1.19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Nowe kwalifikacje zawodowe szansą na sukces</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Edukacji, Państwowe Szkoły Budownictwa, Zespół Szkół Administracyjno-Ekonomicznych i Ogólnokształcących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2 837 267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2 766 672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70 595</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2 099 664</w:t>
            </w:r>
          </w:p>
        </w:tc>
      </w:tr>
      <w:tr>
        <w:tblPrEx>
          <w:tblW w:w="5000" w:type="pct"/>
          <w:tblCellMar>
            <w:left w:w="108" w:type="dxa"/>
            <w:right w:w="108" w:type="dxa"/>
          </w:tblCellMar>
        </w:tblPrEx>
        <w:trPr>
          <w:trHeight w:val="79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zgodnie z potrzebami rynku pracy z ukierunkowaniem
na branże rozwojowe w Państwowych Szkołach Budownictwa-Zespole Szkół, w Zespole Szkół Administracyjno-Ekonomicznych i Ogólnokształcących-Technikum nr 5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Wysokiej jakości szkolnictwo zawodowe szansą dla rozwoju podregionu bytomskiego</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Bytomski Ośrodek Edukacji, Zespół Szkół Mechaniczno-Elektronicznych, 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2 153 764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2 143 633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10 131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1 902 686</w:t>
            </w:r>
          </w:p>
        </w:tc>
      </w:tr>
      <w:tr>
        <w:tblPrEx>
          <w:tblW w:w="5000" w:type="pct"/>
          <w:tblCellMar>
            <w:left w:w="108" w:type="dxa"/>
            <w:right w:w="108" w:type="dxa"/>
          </w:tblCellMar>
        </w:tblPrEx>
        <w:trPr>
          <w:trHeight w:val="71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Upowszechnienie i rozwój wysokiej jakości kształcenia zawodowego, zgodnie z potrzebami rynku pracy z ukierunkowaniem na branże rozwojowe w Zespole Szkół Mechaniczno-Elektronicznych, Zespole Szkół Technicznych oraz w Bytomskim Ośrodku Edukacji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1.1.1.21</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Kształcenie w zawodach przyszłości - wsparcie procesów transformacji na Śląsku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Edukacji, 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1 647 281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1 647 281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441 881</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Wzbogacenie oferty edukacyjnej w Technikum nr 4  dzięki wdrożeniu programu rozwojowego, służącego podniesieniu kwalifikacji i kompetencji zgodnie z potrzebami rynku pracy</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"CRAB - Centrum Rozwoju Aktywności Bytomskiej" </w:t>
            </w:r>
          </w:p>
        </w:tc>
        <w:tc>
          <w:tcPr>
            <w:tcW w:w="1040"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Powiatowy Urząd Pracy </w:t>
            </w:r>
          </w:p>
        </w:tc>
        <w:tc>
          <w:tcPr>
            <w:tcW w:w="27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379 440</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183 844</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176 624</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321 873</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poziomu kompetencji i umiejętności podstawowych, w tym cyfrowych wśród 64 osób bezrobotnych zarejestrowanych w PUP w Bytomiu o niskich umiejętnościach podstawowych lub kompetencjach podstawowych. Umiejętności te będą obejmować rozumienie i przetwarzanie informacji, rozumienia matematyczne, umiejętności cyfrowe oraz kompetencje społeczne na podstawie i z korzystaniem rekomendacji modeli przetestowanych w ramach projektu "Szansa-Nowe możliwości dla dorosłych" tj. modelu dla osób bezrobotnych - "Żyroskop-wielopoziomowy model wsparcia osób dorosłych"</w:t>
            </w:r>
          </w:p>
        </w:tc>
        <w:tc>
          <w:tcPr>
            <w:tcW w:w="1040"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40"/>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2023 dla uczniów oraz działania typu job-shadowing dla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Zespół Szkół Technicznych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270 020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15 173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11 121</w:t>
            </w:r>
          </w:p>
        </w:tc>
      </w:tr>
      <w:tr>
        <w:tblPrEx>
          <w:tblW w:w="5000" w:type="pct"/>
          <w:tblCellMar>
            <w:left w:w="108" w:type="dxa"/>
            <w:right w:w="108" w:type="dxa"/>
          </w:tblCellMar>
        </w:tblPrEx>
        <w:trPr>
          <w:trHeight w:val="34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Staże zawodowe w zagranicznych przedsiębiorstwach dla uczniów ZST i działania typu job-shadowing dla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37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jakości kształcenia zawodowego i jakości pracy Technikum nr 4 poprzez zagraniczne praktyki uczniów i staże zawodowe nauczycieli</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Technikum nr 4</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261 545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35 985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30 540</w:t>
            </w:r>
          </w:p>
        </w:tc>
      </w:tr>
      <w:tr>
        <w:tblPrEx>
          <w:tblW w:w="5000" w:type="pct"/>
          <w:tblCellMar>
            <w:left w:w="108" w:type="dxa"/>
            <w:right w:w="108" w:type="dxa"/>
          </w:tblCellMar>
        </w:tblPrEx>
        <w:trPr>
          <w:trHeight w:val="53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Podniesienie kompetencji zawodowych uczniów ze szczególnym zwróceniem uwagi na szkolenie zawodowe prowadzone w realnym środowisku pracy za granicą oraz podniesienie kompetencji językowych przez nauczycieli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78"/>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1.1.1.32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Nowe możliwości: Wsparcie migrantów i ich integracja na rynku pracy w województwie śląskim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Powiatowy Urząd Pracy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67 787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48 472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19 315</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67 787</w:t>
            </w:r>
          </w:p>
        </w:tc>
      </w:tr>
      <w:tr>
        <w:tblPrEx>
          <w:tblW w:w="5000" w:type="pct"/>
          <w:tblCellMar>
            <w:left w:w="108" w:type="dxa"/>
            <w:right w:w="108" w:type="dxa"/>
          </w:tblCellMar>
        </w:tblPrEx>
        <w:trPr>
          <w:trHeight w:val="84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Integracja społeczno-gospodarcza obywateli państw trzecich poprzez zwiększenie ich szans na rynku pracy oraz promowanie współpracy międzykulturowej w lokalnym środowisku. Projekt zakłada wsparcie migrantów poprzez organizację m.in. szkoleń z języka polskiego, kursów zawodowych, szkoleń z zakresu IT oraz rozwój kompetencji miękkich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04"/>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1.1.1.33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Razem w Zespole: Efektywne szkolenia dla cudzoziemców i pracodawców</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Powiatowy Urząd Pracy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112 507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72 501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20 003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20 003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112 507</w:t>
            </w:r>
          </w:p>
        </w:tc>
      </w:tr>
      <w:tr>
        <w:tblPrEx>
          <w:tblW w:w="5000" w:type="pct"/>
          <w:tblCellMar>
            <w:left w:w="108" w:type="dxa"/>
            <w:right w:w="108" w:type="dxa"/>
          </w:tblCellMar>
        </w:tblPrEx>
        <w:trPr>
          <w:trHeight w:val="632"/>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Wspomaganie integracji społeczno-gospodarczej obywateli państw trzecich, w tym migrantów, przebywających w województwie śląskim z zamiarem stałego lub czasowego pobytu oraz wspomaganie pracodawców zatrudniających tych obywateli </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1.1.2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103 196 505</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22 071 995</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16 327 417</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9 539 298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12 167 984</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51 279 037</w:t>
            </w: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Rozwój energetyki rozproszonej opartej o odnawialne źródła energii na terenie Gminy Bytom</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Inżynierii Środowiska,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18 884 000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13 248 800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5 635 200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18 884 000</w:t>
            </w:r>
          </w:p>
        </w:tc>
      </w:tr>
      <w:tr>
        <w:tblPrEx>
          <w:tblW w:w="5000" w:type="pct"/>
          <w:tblCellMar>
            <w:left w:w="108" w:type="dxa"/>
            <w:right w:w="108" w:type="dxa"/>
          </w:tblCellMar>
        </w:tblPrEx>
        <w:trPr>
          <w:trHeight w:val="91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jakości powietrza, w tym ograniczenie emisji CO2 oraz pyłu PM10 poprzez zwiększenie poziomu produkcji energii ze źródeł odnawialnych tj. instalacji PV (fotowoltaicznych), magazynów energii, instalacji pomp ciepła, systemów zarządzania energią. Program skierowany jest dla mieszkańców Gminy Bytom, którzy mogą otrzymać maksymalny, dopuszczalny poziom dofinansowania kosztów kwalifikowanych do 85% poniesionych kosztów</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1.1.2.7</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Utworzenie Żłobka Miejskiego nr 3 w budynku przy ul. Strzelców Bytomskich 248 w Bytomiu (KPO)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3 560 123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2 711 009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849 114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3 560 123</w:t>
            </w:r>
          </w:p>
        </w:tc>
      </w:tr>
      <w:tr>
        <w:tblPrEx>
          <w:tblW w:w="5000" w:type="pct"/>
          <w:tblCellMar>
            <w:left w:w="108" w:type="dxa"/>
            <w:right w:w="108" w:type="dxa"/>
          </w:tblCellMar>
        </w:tblPrEx>
        <w:trPr>
          <w:trHeight w:val="588"/>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Wybudowanie nowego budynku, połączonego z istniejącym budynkiem Przedszkola Miejskiego nr 63 przy ul. Strzelców Bytomskich 248 w Bytomiu na potrzeby oddziału żłobkowego, spełniających standardy obowiązujące w tego typu placówkach</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7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Adaptacja budynku przy ul. Jana Smolenia 20 w Bytomiu na potrzeby przedszkola miejskiego oraz oddziału żłobkowego (Polski Ład, KPO)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Wydział Realizacji Inwestycji i Remontów</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11 543 731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5 558 007</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4 575 724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1 306 074</w:t>
            </w:r>
          </w:p>
        </w:tc>
      </w:tr>
      <w:tr>
        <w:tblPrEx>
          <w:tblW w:w="5000" w:type="pct"/>
          <w:tblCellMar>
            <w:left w:w="108" w:type="dxa"/>
            <w:right w:w="108" w:type="dxa"/>
          </w:tblCellMar>
        </w:tblPrEx>
        <w:trPr>
          <w:trHeight w:val="730"/>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Dostosowanie budynku przy ul. Jana Smolenia 20 w Bytomiu na potrzeby 8 oddziałowego przedszkola z oddziałem żłobkowym, spełniających standardy obowiązujące w tego typu placówkach. Obiekt zostanie zaprojektowany bez barier architektonicznych, co umożliwi dostęp osobom niepełnosprawnym na wszystkie kondygnacje przedszkola</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92"/>
        </w:trPr>
        <w:tc>
          <w:tcPr>
            <w:tcW w:w="402" w:type="dxa"/>
            <w:vMerge w:val="restart"/>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1.1.2.13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Mobilna Metropolia - Budowa Centrów Przesiadkowych na terenie gminy Bytom</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2028</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69 208 651</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554 179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5 267 379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9 539 298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12 167 984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27 528 840</w:t>
            </w:r>
          </w:p>
        </w:tc>
      </w:tr>
      <w:tr>
        <w:tblPrEx>
          <w:tblW w:w="5000" w:type="pct"/>
          <w:tblCellMar>
            <w:left w:w="108" w:type="dxa"/>
            <w:right w:w="108" w:type="dxa"/>
          </w:tblCellMar>
        </w:tblPrEx>
        <w:trPr>
          <w:trHeight w:val="236"/>
        </w:trPr>
        <w:tc>
          <w:tcPr>
            <w:tcW w:w="402" w:type="dxa"/>
            <w:vMerge/>
            <w:tcBorders>
              <w:top w:val="single" w:sz="2" w:space="0" w:color="000000"/>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Wydatki na programy, projekty lub zadania pozostałe (inne niż wymienione w pkt 1.1 i 1.2), 
z tego:</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223 008 999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54 209 075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28 331 732</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17 469 353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47 385 360</w:t>
            </w: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1.3.1</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bieżące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194 251 510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31 214 150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26 353 134</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17 469 353</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42 946 095</w:t>
            </w:r>
          </w:p>
        </w:tc>
      </w:tr>
      <w:tr>
        <w:tblPrEx>
          <w:tblW w:w="5000" w:type="pct"/>
          <w:tblCellMar>
            <w:left w:w="108" w:type="dxa"/>
            <w:right w:w="108" w:type="dxa"/>
          </w:tblCellMar>
        </w:tblPrEx>
        <w:trPr>
          <w:trHeight w:val="470"/>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będących mieszkańcami Bytomia, a umieszczonych w rodzinnej pieczy zastępczej na terenie innych powiatów na podstawie porozumień między powiatami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 
Miejski Ośrodek 
Pomocy Rodzinie</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27 398 404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2 400 000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2 700 000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7 664 181</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rodzinnej pieczy zastępczej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502"/>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utrzymania dzieci, będących mieszkańcami Bytomia, a umieszczonych w instytucjonalnej pieczy zastępczej na terenie innych powiatów na podstawie porozumień między powiatami</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 
Miejski Ośrodek Pomocy Rodzinie</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31 900 926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2 800 000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3 100 000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3 400 000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8 768 973</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w instytucjonalnej pieczy zastępczej</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72"/>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Świadczenia dziennej opieki nad dziećmi z terenu miasta Bytomia w placówkach opiekuńczo-wychowawczych wsparcia dziennego</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Urząd Miejski 
w Bytomiu, 
Wydział Polityki Społecznej</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2012</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7 210 000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720 000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1 623 470</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dziennej opieki nad dziećmi z terenu miasta Bytomia w placówkach wsparcia dziennego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78"/>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Pokrywanie kosztów wyżywienia i zakwaterowania dzieci z pieczy zastępczej, będących mieszkańcami Bytomia, 
a umieszczonych przez sąd w zakładach opiekuńczo-leczniczych</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Urząd Miejski 
w Bytomiu, 
Wydział Polityki Społecznej, 
Miejski Ośrodek 
Pomocy Rodzinie </w:t>
            </w:r>
          </w:p>
        </w:tc>
        <w:tc>
          <w:tcPr>
            <w:tcW w:w="278"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2018</w:t>
            </w:r>
          </w:p>
        </w:tc>
        <w:tc>
          <w:tcPr>
            <w:tcW w:w="304"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5 846 000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740 000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780 000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2 075 674</w:t>
            </w:r>
          </w:p>
        </w:tc>
      </w:tr>
      <w:tr>
        <w:tblPrEx>
          <w:tblW w:w="5000" w:type="pct"/>
          <w:tblCellMar>
            <w:left w:w="108" w:type="dxa"/>
            <w:right w:w="108" w:type="dxa"/>
          </w:tblCellMar>
        </w:tblPrEx>
        <w:trPr>
          <w:trHeight w:val="328"/>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odpowiednich warunków do życia dzieciom umieszczonym przez sąd w zakładach opiekuńczo-leczniczych</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1.3.1.10</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Letnie i zimowe utrzymanie czystości oraz konserwacja zieleni na terenie Bytomia</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2020</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105 486 239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20 994 496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16 018 034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17 618 427</w:t>
            </w:r>
          </w:p>
        </w:tc>
      </w:tr>
      <w:tr>
        <w:tblPrEx>
          <w:tblW w:w="5000" w:type="pct"/>
          <w:tblCellMar>
            <w:left w:w="108" w:type="dxa"/>
            <w:right w:w="108" w:type="dxa"/>
          </w:tblCellMar>
        </w:tblPrEx>
        <w:trPr>
          <w:trHeight w:val="390"/>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Zapewnienie ładu, czystości, porządku oraz konserwacja zieleni w pasie dróg publicznych oraz na innych terenach będących w utrzymaniu jednostki</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1.3.1.28</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Zarządzanie nieruchomościami będącymi w posiadaniu gminy - umowy wieloletnie</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2 644 108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1 380 114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918 160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1 188 972</w:t>
            </w:r>
          </w:p>
        </w:tc>
      </w:tr>
      <w:tr>
        <w:tblPrEx>
          <w:tblW w:w="5000" w:type="pct"/>
          <w:tblCellMar>
            <w:left w:w="108" w:type="dxa"/>
            <w:right w:w="108" w:type="dxa"/>
          </w:tblCellMar>
        </w:tblPrEx>
        <w:trPr>
          <w:trHeight w:val="700"/>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Realizacja czynności i zadań prowadzonych w nieruchomościach zarządzanych przez Bytomskie Mieszkania. Usługi związane z obsługą eksploatacyjną nieruchomości, w tym m.in. utrzymanie porządku i czystości, całodobowa obsługa eksploatacyjna kotłowni oraz inne zadania, których realizacja wykracza poza rok budżetowy</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78"/>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Roszczenia odszkodowawcze z tytułu niedostarczenia ofert zawarcia umowy najmu socjalnego lokalu</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Bytomskie Mieszkania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2027</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13 449 353</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9 449 353</w:t>
            </w: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3 689 918</w:t>
            </w:r>
          </w:p>
        </w:tc>
      </w:tr>
      <w:tr>
        <w:tblPrEx>
          <w:tblW w:w="5000" w:type="pct"/>
          <w:tblCellMar>
            <w:left w:w="108" w:type="dxa"/>
            <w:right w:w="108" w:type="dxa"/>
          </w:tblCellMar>
        </w:tblPrEx>
        <w:trPr>
          <w:trHeight w:val="119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Spłata odszkodowań z tytułu nieodstarczenia ofert zawarcia umowy najmu soclanego lokalu na rzecz osób wobec których prowomocnym wyrokiem sądowym orzeczona została eksmisja z przyznanym uprawnieniem do zawarcia umowy najmu socjalnego lokalu oraz w związku z niewskazaniem pomieszczeń tymczasowych na rcze osób wobec których prawomocnym wyrokiem sądowym orzeczona została ekmisja bez przyznanego uprawnienia do zawarcia umowy najmu socjalnego lokalu - dotyczy spraw sądowych oraz pozasądowych (porozumienia oraz ugody, w tym mediacje)</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righ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434"/>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Wprowadzenie i utrzymanie oznakowania tymczasowego na wiadukcie w ciągu al. Jana Pawła II (DW-911) nad ulicą Siemianowicką w Bytomiu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216 480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120 540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95 940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216 480</w:t>
            </w:r>
          </w:p>
        </w:tc>
      </w:tr>
      <w:tr>
        <w:tblPrEx>
          <w:tblW w:w="5000" w:type="pct"/>
          <w:tblCellMar>
            <w:left w:w="108" w:type="dxa"/>
            <w:right w:w="108" w:type="dxa"/>
          </w:tblCellMar>
        </w:tblPrEx>
        <w:trPr>
          <w:trHeight w:val="26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Utrzymanie elementów wprowadzonej zmiany organizacji ruchu wraz z montażem i demontażem</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66"/>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1.3.1.36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Koncepcja przebudowy Rynku</w:t>
            </w:r>
          </w:p>
        </w:tc>
        <w:tc>
          <w:tcPr>
            <w:tcW w:w="1040"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Wydział Strategii, Funduszy Europejskich
 i Obsługi Inwestora</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100 000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99 000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100 000</w:t>
            </w:r>
          </w:p>
        </w:tc>
      </w:tr>
      <w:tr>
        <w:tblPrEx>
          <w:tblW w:w="5000" w:type="pct"/>
          <w:tblCellMar>
            <w:left w:w="108" w:type="dxa"/>
            <w:right w:w="108" w:type="dxa"/>
          </w:tblCellMar>
        </w:tblPrEx>
        <w:trPr>
          <w:trHeight w:val="304"/>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Przygotowanie dokumentacji koncepcyjnej przebudowy nowej płyty Rynku</w:t>
            </w:r>
          </w:p>
        </w:tc>
        <w:tc>
          <w:tcPr>
            <w:tcW w:w="1040"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124"/>
        </w:trPr>
        <w:tc>
          <w:tcPr>
            <w:tcW w:w="40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1.3.2</w:t>
            </w:r>
          </w:p>
        </w:tc>
        <w:tc>
          <w:tcPr>
            <w:tcW w:w="4248" w:type="dxa"/>
            <w:gridSpan w:val="4"/>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 wydatki majątkowe</w:t>
            </w:r>
          </w:p>
        </w:tc>
        <w:tc>
          <w:tcPr>
            <w:tcW w:w="724"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28 757 489</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22 994 925</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1 978 598</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38"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0</w:t>
            </w:r>
          </w:p>
        </w:tc>
        <w:tc>
          <w:tcPr>
            <w:tcW w:w="662"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r>
              <w:rPr>
                <w:rFonts w:ascii="Arial" w:eastAsia="Arial" w:hAnsi="Arial" w:cs="Arial"/>
                <w:b/>
                <w:i w:val="0"/>
                <w:strike w:val="0"/>
                <w:color w:val="000000"/>
                <w:sz w:val="14"/>
                <w:u w:val="none"/>
                <w:vertAlign w:val="baseline"/>
              </w:rPr>
              <w:t>4 439 265</w:t>
            </w:r>
          </w:p>
        </w:tc>
      </w:tr>
      <w:tr>
        <w:tblPrEx>
          <w:tblW w:w="5000" w:type="pct"/>
          <w:tblCellMar>
            <w:left w:w="108" w:type="dxa"/>
            <w:right w:w="108" w:type="dxa"/>
          </w:tblCellMar>
        </w:tblPrEx>
        <w:trPr>
          <w:trHeight w:val="236"/>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1.3.2.9</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Nickla wraz ze skrzyżowaniem 
z ul. Daleką (RFIL)</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2021</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11 758 976</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8 153 904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936 217</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260"/>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1.3.2.13</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i przebudowa kanalizacji deszczowej
w ul. Nickla i Relaksowej (Frenzla) (Polski Ład Edycja 2)</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4 561 909</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4 559 905</w:t>
            </w: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2 000 000</w:t>
            </w:r>
          </w:p>
        </w:tc>
      </w:tr>
      <w:tr>
        <w:tblPrEx>
          <w:tblW w:w="5000" w:type="pct"/>
          <w:tblCellMar>
            <w:left w:w="108" w:type="dxa"/>
            <w:right w:w="108" w:type="dxa"/>
          </w:tblCellMar>
        </w:tblPrEx>
        <w:trPr>
          <w:trHeight w:val="372"/>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Budowa i przebudowa kanalizacji grawitacyjnych 
i tłocznych w celu zapewnienia odbioru wód deszczowych z terenów dróg i terenów przylegających do terenu inwestycji</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118"/>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1.3.2.15</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ulicy bocznej Estreichera</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2023</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59 350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55 350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r>
              <w:rPr>
                <w:rFonts w:ascii="Arial CE" w:eastAsia="Arial CE" w:hAnsi="Arial CE" w:cs="Arial CE"/>
                <w:b w:val="0"/>
                <w:i w:val="0"/>
                <w:strike w:val="0"/>
                <w:color w:val="000000"/>
                <w:sz w:val="14"/>
                <w:u w:val="none"/>
                <w:vertAlign w:val="baseline"/>
              </w:rPr>
              <w:t>48</w:t>
            </w:r>
          </w:p>
        </w:tc>
      </w:tr>
      <w:tr>
        <w:tblPrEx>
          <w:tblW w:w="5000" w:type="pct"/>
          <w:tblCellMar>
            <w:left w:w="108" w:type="dxa"/>
            <w:right w:w="108" w:type="dxa"/>
          </w:tblCellMar>
        </w:tblPrEx>
        <w:trPr>
          <w:trHeight w:val="236"/>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CE" w:eastAsia="Arial CE" w:hAnsi="Arial CE" w:cs="Arial CE"/>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r>
      <w:tr>
        <w:tblPrEx>
          <w:tblW w:w="5000" w:type="pct"/>
          <w:tblCellMar>
            <w:left w:w="108" w:type="dxa"/>
            <w:right w:w="108" w:type="dxa"/>
          </w:tblCellMar>
        </w:tblPrEx>
        <w:trPr>
          <w:trHeight w:val="292"/>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1.3.2.24</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Przebudowa ul. Cyryla i Metodego - etap I (Polski Ład Edycja 8)</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 xml:space="preserve">Miejski Zarząd 
Dróg i Mostów </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2026</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10 693 000</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8 717 402</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1 975 598</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3 000</w:t>
            </w:r>
          </w:p>
        </w:tc>
      </w:tr>
      <w:tr>
        <w:tblPrEx>
          <w:tblW w:w="5000" w:type="pct"/>
          <w:tblCellMar>
            <w:left w:w="108" w:type="dxa"/>
            <w:right w:w="108" w:type="dxa"/>
          </w:tblCellMar>
        </w:tblPrEx>
        <w:trPr>
          <w:trHeight w:val="340"/>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Poprawa bezpieczeństwa oraz usprawnienie ruchu kołowego i pieszego</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r>
        <w:tblPrEx>
          <w:tblW w:w="5000" w:type="pct"/>
          <w:tblCellMar>
            <w:left w:w="108" w:type="dxa"/>
            <w:right w:w="108" w:type="dxa"/>
          </w:tblCellMar>
        </w:tblPrEx>
        <w:trPr>
          <w:trHeight w:val="384"/>
        </w:trPr>
        <w:tc>
          <w:tcPr>
            <w:tcW w:w="402" w:type="dxa"/>
            <w:vMerge w:val="restart"/>
            <w:tcBorders>
              <w:top w:val="single" w:sz="2" w:space="0" w:color="000000"/>
              <w:left w:val="single" w:sz="2" w:space="0" w:color="000000"/>
              <w:bottom w:val="nil"/>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1.3.2.36</w:t>
            </w: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Modernizacja łazienek w budynku głównym DPS dla Dorosłych - wymiana uszkodzonych stropów drewnianych w rejonie łazienek</w:t>
            </w:r>
          </w:p>
        </w:tc>
        <w:tc>
          <w:tcPr>
            <w:tcW w:w="1040"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Dom Pomocy Społecznej dla Dorosłych</w:t>
            </w:r>
          </w:p>
        </w:tc>
        <w:tc>
          <w:tcPr>
            <w:tcW w:w="27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2024</w:t>
            </w:r>
          </w:p>
        </w:tc>
        <w:tc>
          <w:tcPr>
            <w:tcW w:w="30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2025</w:t>
            </w:r>
          </w:p>
        </w:tc>
        <w:tc>
          <w:tcPr>
            <w:tcW w:w="724"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1 684 254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1 508 364</w:t>
            </w: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val="restart"/>
            <w:tcBorders>
              <w:top w:val="single" w:sz="2" w:space="0" w:color="000000"/>
              <w:left w:val="single" w:sz="2" w:space="0" w:color="000000"/>
              <w:bottom w:val="nil"/>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1 500 000</w:t>
            </w:r>
          </w:p>
        </w:tc>
      </w:tr>
      <w:tr>
        <w:tblPrEx>
          <w:tblW w:w="5000" w:type="pct"/>
          <w:tblCellMar>
            <w:left w:w="108" w:type="dxa"/>
            <w:right w:w="108" w:type="dxa"/>
          </w:tblCellMar>
        </w:tblPrEx>
        <w:trPr>
          <w:trHeight w:val="354"/>
        </w:trPr>
        <w:tc>
          <w:tcPr>
            <w:tcW w:w="402" w:type="dxa"/>
            <w:vMerge/>
            <w:tcBorders>
              <w:top w:val="nil"/>
              <w:left w:val="single" w:sz="2" w:space="0" w:color="000000"/>
              <w:bottom w:val="single" w:sz="2" w:space="0" w:color="000000"/>
              <w:right w:val="single" w:sz="2" w:space="0" w:color="000000"/>
              <w:tl2br w:val="nil"/>
              <w:tr2bl w:val="nil"/>
            </w:tcBorders>
            <w:shd w:val="solid" w:color="FFFFFF" w:fill="FFFFFF"/>
            <w:vAlign w:val="center"/>
          </w:tcPr>
          <w:p>
            <w:pPr>
              <w:jc w:val="center"/>
              <w:rPr>
                <w:rFonts w:ascii="Arial" w:eastAsia="Arial" w:hAnsi="Arial" w:cs="Arial"/>
                <w:b w:val="0"/>
                <w:i w:val="0"/>
                <w:strike w:val="0"/>
                <w:color w:val="000000"/>
                <w:sz w:val="14"/>
                <w:u w:val="none"/>
                <w:vertAlign w:val="baseline"/>
              </w:rPr>
            </w:pPr>
          </w:p>
        </w:tc>
        <w:tc>
          <w:tcPr>
            <w:tcW w:w="2626" w:type="dxa"/>
            <w:tcBorders>
              <w:top w:val="single" w:sz="2" w:space="0" w:color="000000"/>
              <w:left w:val="single" w:sz="2" w:space="0" w:color="000000"/>
              <w:bottom w:val="single" w:sz="2" w:space="0" w:color="000000"/>
              <w:right w:val="single" w:sz="2" w:space="0" w:color="000000"/>
              <w:tl2br w:val="nil"/>
              <w:tr2bl w:val="nil"/>
            </w:tcBorders>
            <w:shd w:val="clear" w:color="auto" w:fill="auto"/>
            <w:vAlign w:val="top"/>
          </w:tcPr>
          <w:p>
            <w:pPr>
              <w:jc w:val="left"/>
              <w:rPr>
                <w:rFonts w:ascii="Arial" w:eastAsia="Arial" w:hAnsi="Arial" w:cs="Arial"/>
                <w:b w:val="0"/>
                <w:i w:val="0"/>
                <w:strike w:val="0"/>
                <w:color w:val="000000"/>
                <w:sz w:val="14"/>
                <w:u w:val="none"/>
                <w:vertAlign w:val="baseline"/>
              </w:rPr>
            </w:pPr>
            <w:r>
              <w:rPr>
                <w:rFonts w:ascii="Arial" w:eastAsia="Arial" w:hAnsi="Arial" w:cs="Arial"/>
                <w:b w:val="0"/>
                <w:i w:val="0"/>
                <w:strike w:val="0"/>
                <w:color w:val="000000"/>
                <w:sz w:val="14"/>
                <w:u w:val="none"/>
                <w:vertAlign w:val="baseline"/>
              </w:rPr>
              <w:t>Dostosowanie łazienek w budynku głównym do wymaganych standardów poprzez modernizację i wymianę uszkodzonych stropów drewnianych</w:t>
            </w:r>
          </w:p>
        </w:tc>
        <w:tc>
          <w:tcPr>
            <w:tcW w:w="1040" w:type="dxa"/>
            <w:vMerge/>
            <w:tcBorders>
              <w:top w:val="single" w:sz="2" w:space="0" w:color="000000"/>
              <w:left w:val="single" w:sz="2" w:space="0" w:color="000000"/>
              <w:bottom w:val="single" w:sz="2" w:space="0" w:color="000000"/>
              <w:right w:val="single" w:sz="2" w:space="0" w:color="000000"/>
              <w:tl2br w:val="nil"/>
              <w:tr2bl w:val="nil"/>
            </w:tcBorders>
            <w:shd w:val="clear" w:color="auto" w:fill="auto"/>
            <w:vAlign w:val="center"/>
          </w:tcPr>
          <w:p>
            <w:pPr>
              <w:jc w:val="left"/>
              <w:rPr>
                <w:rFonts w:ascii="Arial" w:eastAsia="Arial" w:hAnsi="Arial" w:cs="Arial"/>
                <w:b w:val="0"/>
                <w:i w:val="0"/>
                <w:strike w:val="0"/>
                <w:color w:val="000000"/>
                <w:sz w:val="14"/>
                <w:u w:val="none"/>
                <w:vertAlign w:val="baseline"/>
              </w:rPr>
            </w:pPr>
          </w:p>
        </w:tc>
        <w:tc>
          <w:tcPr>
            <w:tcW w:w="27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30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center"/>
              <w:rPr>
                <w:rFonts w:ascii="Arial" w:eastAsia="Arial" w:hAnsi="Arial" w:cs="Arial"/>
                <w:b w:val="0"/>
                <w:i w:val="0"/>
                <w:strike w:val="0"/>
                <w:color w:val="000000"/>
                <w:sz w:val="14"/>
                <w:u w:val="none"/>
                <w:vertAlign w:val="baseline"/>
              </w:rPr>
            </w:pPr>
          </w:p>
        </w:tc>
        <w:tc>
          <w:tcPr>
            <w:tcW w:w="724"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CE" w:eastAsia="Arial CE" w:hAnsi="Arial CE" w:cs="Arial CE"/>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38"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i w:val="0"/>
                <w:strike w:val="0"/>
                <w:color w:val="000000"/>
                <w:sz w:val="14"/>
                <w:u w:val="none"/>
                <w:vertAlign w:val="baseline"/>
              </w:rPr>
            </w:pPr>
          </w:p>
        </w:tc>
        <w:tc>
          <w:tcPr>
            <w:tcW w:w="662" w:type="dxa"/>
            <w:vMerge/>
            <w:tcBorders>
              <w:top w:val="nil"/>
              <w:left w:val="single" w:sz="2" w:space="0" w:color="000000"/>
              <w:bottom w:val="single" w:sz="2" w:space="0" w:color="000000"/>
              <w:right w:val="single" w:sz="2" w:space="0" w:color="000000"/>
              <w:tl2br w:val="nil"/>
              <w:tr2bl w:val="nil"/>
            </w:tcBorders>
            <w:shd w:val="clear" w:color="auto" w:fill="auto"/>
            <w:vAlign w:val="center"/>
          </w:tcPr>
          <w:p>
            <w:pPr>
              <w:jc w:val="right"/>
              <w:rPr>
                <w:rFonts w:ascii="Arial" w:eastAsia="Arial" w:hAnsi="Arial" w:cs="Arial"/>
                <w:b w:val="0"/>
                <w:i w:val="0"/>
                <w:strike w:val="0"/>
                <w:color w:val="000000"/>
                <w:sz w:val="14"/>
                <w:u w:val="none"/>
                <w:vertAlign w:val="baseline"/>
              </w:rPr>
            </w:pPr>
          </w:p>
        </w:tc>
      </w:tr>
    </w:tbl>
    <w:p>
      <w:pPr>
        <w:sectPr>
          <w:footerReference w:type="default" r:id="rId5"/>
          <w:endnotePr>
            <w:numFmt w:val="decimal"/>
          </w:endnotePr>
          <w:type w:val="nextPage"/>
          <w:pgSz w:w="16838" w:h="11906" w:orient="landscape"/>
          <w:pgMar w:top="1417" w:right="1020" w:bottom="1020"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center"/>
        <w:rPr>
          <w:rFonts w:eastAsia="Times New Roman" w:cs="Times New Roman"/>
          <w:szCs w:val="20"/>
        </w:rPr>
      </w:pPr>
      <w:r>
        <w:rPr>
          <w:rFonts w:eastAsia="Times New Roman" w:cs="Times New Roman"/>
          <w:szCs w:val="20"/>
        </w:rPr>
        <w:t>objaśnienia do zmian w wieloletniej prognozie finansowej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uchwale nr XII/100/24 Rady Miejskiej w Bytomiu z dnia 16 grudnia 2024 r. w sprawie wieloletniej prognozy finansowej miasta Bytomia na lata 2025-2046, w załączniku nr 2 pn. „Wykaz przedsięwzięć wieloletnich” dokonuje się następujących zmian:</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dodaje się pozycję nr 1.3.1.36 pn. "Koncepcja przebudowy Rynku" w związku z planowaną przebudową płyty Rynku. Celem przedsięwzięcia jest przygotowanie dokumentacji koncepcyjnej przebudowy płyty Rynku, wykonanie analizy finansowej określającej wysokość nakładów inwestycyjnych oraz uzyskanie stosownych uzgodnień. Łączne nakłady finansowe zadania planowanego do realizacji w Wydziale Strategii, Funduszy Europejskich i Obsługi Inwestora szacuje się w wysokości 100.000 zł, z tego w 2025 roku w kwocie 99.000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W zakresie zadań realizowanych 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a) Powiatowym Urzędzie Pracy: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w związku z zawarciem w dniu 26 września 2024 roku umów o partnerstwie na rzecz realizacji projektów w ramach programu Fundusze Europejskie dla Śląskiego 2021-2027, priorytetu: Fundusze Europejskie dla społeczeństwa, działania: Integracja społeczno-gospodarcza cudzoziemców dodaje się: </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pozycję nr 1.1.1.32 pn. "Nowe możliwości: Wsparcie migrantów i ich integracja na rynku pracy w województwie śląskim". Liderem projektu będzie RECON Consulting Sp. z o.o. w Chorzowie. Łączne nakłady finansowe zadania planuje się w wysokości 67.787 zł, z tego środki Unii Europejskiej w kwocie 57.620 zł oraz środki budżetu państwa w wysokości 10.167 zł. Celem projektu jest zwiększenie szans na rynku pracy obywateli państw trzecich poprzez organizację szkoleń z języka polskiego, kursów zawodowych, szkoleń z zakresu IT oraz rozwój kompetencji miękkich;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pozycję nr 1.1.1.33 pn. "Razem w Zespole: Efektywne szkolenia dla cudzoziemców i pracodawców”. Liderem projektu będzie Niepubliczne Centrum Kształcenia Ustawicznego Sp. z o.o. z siedzibą w Mysłowicach. Łączne nakłady finansowe zadania planuje się w wysokości 112.507 zł, z tego środki Unii Europejskiej w kwocie 95.629 zł oraz środki budżetu państwa w wysokości 16.878 zł. Celem projektu jest wspomaganie integracji społeczno-gospodarczej obywateli państw trzecich, których zamiarem jest stały lub czasowy pobyt w mieście oraz wspomaganie pracodawców zatrudniających tych obywateli.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Ponadto, zmienia się pozycję nr 1.1.1.14 pn. "Biznes na zicher-100 tysięcy na start ". Planowane na 2026 rok nakłady finansowe zadania zwiększa się o niewykorzystane w roku ubiegłym środki w wysokości 1.606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b) Bytomskich Mieszkani</w:t>
      </w:r>
      <w:r>
        <w:rPr>
          <w:rFonts w:eastAsia="Times New Roman" w:cs="Times New Roman"/>
          <w:szCs w:val="20"/>
        </w:rPr>
        <w:t>a</w:t>
      </w:r>
      <w:r>
        <w:rPr>
          <w:rFonts w:eastAsia="Times New Roman" w:cs="Times New Roman"/>
          <w:szCs w:val="20"/>
        </w:rPr>
        <w:t>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1.3.1.28 pn. "Zarządzanie nieruchomościami będącymi w posiadaniu gminy - umowy wieloletnie". W związku z koniecznością zapewnienia stabilizacji i ciągłości wykonywania usług kominiarskich w budynkach i lokalach zarządzanych przez Bytomskie Mieszkania zwiększa się łączne nakłady finansowe zadania o kwotę 667.665 zł, w tym w 2025 roku o 549.505 zł, natomiast w 2026 roku o kwotę 118.160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1.3.1.34 pn. "Roszczenia odszkodowawcze z tytułu niedostarczenia ofert zawarcia umowy najmu socjalnego lokalu". Zmniejsza się łączne nakłady finansowe zadania o kwotę 1.014.424 zł,  w tym w 2025 roku o 302.838 zł w związku z podpisaniem w dniu 30 grudnia 2024 roku ugody pozasądowej przed mediatorem pomiędzy Spółką Restrukturyzacji Kopalń S.A. a Gminą Bytom, wynikiem której między innymi zmniejszono kwoty należnych ustawowych odsetek za opóźnienie w stosunku do wartości początkowo ustalonych.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c) Miejskim Zarządzie Dróg i Mostów: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związku z koniecznością ujęcia w wykazie przedsięwzięć wieloletnich w części dotyczącej zadań finansowanych środkami, o których mowa w art. 5 ust. 1pkt 2 i 3 u.o f.p. projektu pn. "Mobilna Metropolia - Budowa Centrów Przesiadkowych na terenie gminy Bytom" dodaje się pozycję nr 1.1.2.13 oraz usuwa się pozycję nr 1.3.2.16,</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dodaje się pozycję nr 1.3.1.35 pn. "Wprowadzenie i utrzymanie oznakowania tymczasowego na wiadukcie w ciągu al. Jana Pawła II (DW-911) nad ulicą Siemianowicką w Bytomiu". Z uwagi na awaryjny stan wiaduktu drogowego na ul. Siemianowickiej oraz decyzję Wojewódzkiego Inspektora Nadzoru Budowlanego zachodzi konieczność bezzwłocznego ogłoszenia postępowania przetargowego na wprowadzenie zmiany organizacji ruchu. Łączne nakłady finansowe zadania, planowanego do realizacji w latach 2025-2026, szacuje się w wysokości 216.480 zł, w tym w 2025 roku w kwocie 120.540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1.3.1.10 pn. "Letnie i zimowe utrzymanie czystości oraz konserwacja zieleni na terenie Bytomia". W celu zabezpieczenia środków finansowych niezbędnych do przeprowadzenia postępowania przetargowego na zimowe utrzymanie dróg w sezonie 2025/2026 zwiększa się łączne i planowane na 2026 rok nakłady finansowe zadania o kwotę 14.073.234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 zmienia się pozycję nr 1.3.2.15 pn. "Przebudowa ulicy bocznej Estreichera". Z uwagi na zmianę terminu rozpoczęcia etapu budowlanego zadania, planowane na 2025 rok nakłady finansowe w wysokości 3.000 zł przesuwa się do roku 2026,</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1.3.2.24 pn. "Przebudowa ul. Cyryla i Metodego - etap I (Polski Ład Edycja 8)”. W związku z koniecznością uzyskania nowego wywiadu branżowego w ramach realizacji zadania, zwiększa się łączne i planowane na 2025 rok nakłady finansowe o kwotę 3.000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W związku z podpisaniem aneksów do umów o dofinansowanie projektów ze środków Krajowego Planu Odbudowy realizowanych w ramach Programu rozwoju instytucji opieki nad dzieckiem w wieku do lat 3 Aktywny Maluch 2022-2029, w Wydziale Realizacji Inwestycji i Remontów dokonuje się zmian w następujących pozycjach: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1.1.2.7 pn. "Utworzenie Żłobka Miejskiego nr 3 w budynku przy ul. Strzelców Bytomskich 248 w Bytomiu (KPO)". Zwiększa się łączne nakłady finansowe zadania o kwotę 1.442.830 zł, w tym planowane na 2025 rok o 1.541.216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1.1.2.9 pn. "Adaptacja budynku przy ul. Jana Smolenia 20 w Bytomiu na potrzeby przedszkola miejskiego oraz oddziału żłobkowego (Polski Ład, KPO)". Zwiększa się łączne nakłady finansowe zadania o kwotę 921.414 zł, w tym ze środków Krajowego Planu Odbudowy o 721.414 zł. Jednocześnie, w celu wykonania dokumentacji projektowej i robót polegających na usunięciu kolizji z siecią elektroenergetyczną, zwiększa się wkład własny miasta o 200.000 zł, w tym w roku bieżącym o kwotę 100.000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związku z uchwałą nr LXXII/564/2025 Zgromadzenia Górnośląsko-Zagłębiowskiej Metropolii z dnia 25 marca br. w sprawie udzielenia gminom członkowskim GZM pomocy finansowej w formie dotacji w ramach Funduszu Odporności, dokonuje się następujących zmian:</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dodaje się pozycję nr 1.3.2.36 pn."Modernizacja łazienek w budynku głównym DPS dla Dorosłych - wymiana uszkodzonych stropów drewnianych w rejonie łazienek". Łączne nakłady finansowe zadania szacuje się w wysokości 1.684.254 zł. Planowane na 2025 nakłady finansowe przedsięwzięcia wyniosą 1.508.364 zł, z tego wkład własny miasta przewiduje się w kwocie 8.364 zł oraz środki Funduszu Odporności w wysokości 1.500.000 zł. Zadanie ma na celu dostosowanie pomieszczeń łazienek w budynku głównym Domu do wymaganych standardów poprzez modernizację i wymianę uszkodzonych stropów drewnianych,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1.3.2.9 pn. "Przebudowa ul. Nickla wraz ze skrzyżowaniem z ul. Daleką (RFIL)". Łączne i planowane na 2025 rok nakłady finansowe zadania zwiększa się o kwotę 927.537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zmienia się pozycję nr 1.3.2.13 pn. "Budowa i przebudowa kanalizacji deszczowej w ul. Nickla i Relaksowej (Frenzla) (Polski Ład Edycja 2)". Łączne i planowane na 2025 rok nakłady finansowe przedsięwzięcia zwiększa się o kwotę 1.072.463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Ponadto, w uchwale aktualizuje się wartość limitu zobowiązań (kolumna 13 załącznika do uchwały nr XII/100/24 Rady Miejskiej w Bytomiu z dnia 16 grudnia 2024 r.) w związku z zawartymi umowami w ramach przedsięwzięć ujętych w następujących pozycjach: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1.1.1.5 pn. "Europa otwarta dla Technikum nr 4";</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1.1.1.6 pn. "Staże zawodowe w zagranicznych przedsiębiorstwach dla uczniów ZST;</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 nr 1.1.1.7 pn. "Kompetencje zawodowe na całe życie - zagraniczne staże zawodowe dla uczniów i nauczycieli";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1.1.1.9 pn. "Centrum Wsparcia Rodziny - CWR 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1.1.1.13 pn. "Czas na zmiany - nowe perspektywy (RAZEM) z Centrum Integracji Społecznej";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 nr 1.1.1.15 pn. "Razem do celu";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  nr 1.1.1.19 pn. "Nowe kwalifikacje zawodowe szansą na sukces";</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1.1.1.20 pn. "Wysokiej jakości szkolnictwo zawodowe szansą dla rozwoju podregionu bytomskiego";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1.1.1.21 pn. "Kształcenie w zawodach przyszłości - wsparcie procesów transformacji na Śląsku";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jc w:val="both"/>
        <w:rPr>
          <w:rFonts w:eastAsia="Times New Roman" w:cs="Times New Roman"/>
          <w:szCs w:val="20"/>
        </w:rPr>
      </w:pPr>
      <w:r>
        <w:rPr>
          <w:rFonts w:eastAsia="Times New Roman" w:cs="Times New Roman"/>
          <w:szCs w:val="20"/>
        </w:rPr>
        <w:t>- nr 1.1.1.23 pn. "CRAB - Centrum Rozwoju Aktywności Bytomskiej";</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1.1.1.25 pn. "Staże zawodowe 2023 dla uczniów oraz działania typu job-shadowing dla nauczycieli";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1.1.1.27 pn. "Podniesienie jakości kształcenia zawodowego i jakości pracy Technikum nr 4 poprzez zagraniczne praktyki uczniów i staże zawodowe nauczycieli";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1.1.2.5 pn. "Rozwój energetyki rozproszonej opartej o odnawialne źródła energii na terenie Gminy Bytom";</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1.3.1.2 pn. "Pokrywanie kosztów utrzymania dzieci, będących mieszkańcami Bytomia, a umieszczonych w rodzinnej pieczy zastępczej na terenie innych powiatów na podstawie porozumień między powiatami";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1.3.1.3 pn. "Pokrywanie kosztów utrzymania dzieci, będących mieszkańcami Bytomia, a umieszczonych w instytucjonalnej pieczy zastępczej na terenie innych powiatów na podstawie porozumień między powiatami";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1.3.1.6 pn. "Świadczenia dziennej opieki nad dziećmi z terenu miasta Bytomia w placówkach opiekuńczo-wychowawczych wsparcia dziennego"; </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nr 1.3.1.8 pn. "Pokrywanie kosztów wyżywienia i zakwaterowania dzieci z pieczy zastępczej, będących mieszkańcami Bytomia, a umieszczonych przez sąd w zakładach opiekuńczo-leczniczych";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Zmiany planu przychodów, dochodów i wydatków budżetu miasta na 2025 rok wynikające z § 1 niniejszej uchwały dokonane zostaną w trybie odrębnej uchwały rady miejskiej oraz zarządzeń prezydenta, zgodnie z kompetencjami.</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780CF16E-1557-4799-B34E-BDD1D0BB2933.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65"/>
      <w:gridCol w:w="4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865"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780CF16E-1557-4799-B34E-BDD1D0BB2933. Podpisany</w:t>
          </w:r>
        </w:p>
      </w:tc>
      <w:tc>
        <w:tcPr>
          <w:tcW w:w="4933"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780CF16E-1557-4799-B34E-BDD1D0BB2933.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XVI/133/25 z dnia 28 kwietnia 2025 r.</dc:title>
  <dc:subject>zmieniająca uchwałę nr XII/100/24 Rady Miejskiej w^Bytomiu w^sprawie wieloletniej prognozy finansowej miasta Bytomia na lata 2025-2046</dc:subject>
  <dc:creator>asteuer</dc:creator>
  <cp:lastModifiedBy>asteuer</cp:lastModifiedBy>
  <cp:revision>1</cp:revision>
  <dcterms:created xsi:type="dcterms:W3CDTF">2025-05-07T13:16:36Z</dcterms:created>
  <dcterms:modified xsi:type="dcterms:W3CDTF">2025-05-07T13:16:36Z</dcterms:modified>
  <cp:category>Akt prawny</cp:category>
</cp:coreProperties>
</file>