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XVI/139/25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XLI/515/12 Pełniącej Funkcje Organów Miasta Bytom działającej za Radę Miejską w sprawie zmiany statutu Miejskiej Biblioteki Publicznej im. prof. Władysława Studenckiego z siedzibą w Bytomiu przy pl. Jana III Sobieskiego 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prowadzeniu działalności kulturalnej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XLI/515/12 Pełniącej Funkcje Organów Miasta Bytom działającej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statutu Miejskiej Biblioteki Publicznej im. prof. Władysława Studenckiego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pl. Jana III Sobieskiego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 Urz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poz.1498,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"1. Biblioteka prowadzi wypożyczalnie, czytelnie, pracownie, oddziały dla dzieci,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także biblioteczne placówki filialne, tworzące sieć terytorialną Biblioteki. Wykaz adresowy placówek filialnych wchodzących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sieci terytorialnej Biblioteki stanowi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niniejszego statutu.";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"2. Radę Biblioteki powołuje dyrektor Biblioteki, który kieruje również jej pracami.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 Rady Biblioteki wchodzą: główny księgowy, kierownik administracyjny, specjalista ds.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pracowniczych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socjalnych, specjalista ds. marketingu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promocji, specjalista - bibliotekarz systemowy, Administrator Systemu Informatycznego, specjalista ds. eksploatacji infrastruktury teleinformatycznej, specjalista ds. statystyki, analiz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inwentaryzacji zbiorów, specjalista ds. obsługi kancelaryjnej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EZD, kierownicy działów biblioteki, przedstawiciele związków zawodowych działających na terenie Biblioteki.".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dokonuje zmiany statutu Miejskiej Biblioteki Publicznej w Bytomiu, z zamiarem dostosowania go do bieżących struktur prawno-organizacyjnych instytucji.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Wykreślenie "punktów bibliotecznych" jako form organizacyjnych działania Biblioteki dostosowuje statut do obecnych form funkcjonowania instytucji. Tego typu komórki organizacyjne nie istnieją już w strukturze MBP w Bytomiu. Zmiany w § 16 statutu uaktualniają skład Rady Bibliotecznej, zgodnie z aktualną strukturą organizacyjną Biblioteki.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poddano konsultacjom zgodnie z uchwałą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957FCB62-8366-4B29-8B8B-AE36220B27EF.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957FCB62-8366-4B29-8B8B-AE36220B27EF.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XVI/139/25 z dnia 28 kwietnia 2025 r.</dc:title>
  <dc:subject>zmieniająca uchwałę nr XLI/515/12 Pełniącej Funkcje Organów Miasta Bytom działającej za Radę Miejską w^sprawie zmiany statutu Miejskiej Biblioteki Publicznej im.^prof.^Władysława Studenckiego z^siedzibą w^Bytomiu przy pl. Jana III Sobieskiego^3</dc:subject>
  <dc:creator>asteuer</dc:creator>
  <cp:lastModifiedBy>asteuer</cp:lastModifiedBy>
  <cp:revision>1</cp:revision>
  <dcterms:created xsi:type="dcterms:W3CDTF">2025-04-29T08:41:37Z</dcterms:created>
  <dcterms:modified xsi:type="dcterms:W3CDTF">2025-04-29T08:41:37Z</dcterms:modified>
  <cp:category>Akt prawny</cp:category>
</cp:coreProperties>
</file>