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XVI/138/25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28 kwietnia 2025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XIII/169/19 Rady Miejskiej w Bytomiu w sprawie Bytomskiego Budżetu Obywatelskiego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5a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1465,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XIII/169/19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maja 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sprawie Bytomskiego Budżetu Obywatelskiego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4038,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2748)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do uchwały wprowadza się następujące zmiany: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§ 1: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/>
        <w:spacing w:before="120" w:after="120" w:line="276" w:lineRule="auto"/>
        <w:ind w:left="68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Bytomskim Budżecie Obywatelskim, zwanym dalej BBO, można składać projekty, których realizacja odpowiada na zidentyfikowane potrzeby społeczne, mieści się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kompetencjach samorządu miasta Bytomia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jest możliwa do wykonania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ciągu jednego roku budżetowego, 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efekt realizacji tych projektów jest ogólnodostępny dla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mieszkańców Bytomia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nieodpłatny.</w:t>
      </w:r>
      <w:r>
        <w:rPr>
          <w:b w:val="0"/>
          <w:i w:val="0"/>
          <w:u w:val="none"/>
        </w:rPr>
        <w:t>”</w:t>
      </w:r>
      <w:r>
        <w:t>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/>
        <w:spacing w:before="120" w:after="120" w:line="276" w:lineRule="auto"/>
        <w:ind w:left="68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Wartość projektu ujętego we wniosku nie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może przekroczyć kwoty przewidzianej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ramach danego progu kwotowego,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których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16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2. Wniosek, którego wartość po weryfikacji przekracza próg określony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16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podlega odrzuceniu.</w:t>
      </w:r>
      <w:r>
        <w:rPr>
          <w:b w:val="0"/>
          <w:i w:val="0"/>
          <w:u w:val="none"/>
        </w:rPr>
        <w:t>”</w:t>
      </w:r>
      <w:r>
        <w:t>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/>
        <w:spacing w:before="120" w:after="120" w:line="276" w:lineRule="auto"/>
        <w:ind w:left="68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Projekty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charakterze inwestycyjnym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remontowym muszą dotyczyć nieruchomości wchodzących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skład zasobów nieruchomości we władaniu Prezydenta Bytomia.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/>
        <w:spacing w:before="120" w:after="120" w:line="276" w:lineRule="auto"/>
        <w:ind w:left="453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Ocena zgłoszonych projektów składa się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trzech etapów:</w:t>
      </w:r>
    </w:p>
    <w:p w:rsidR="00A77B3E">
      <w:pPr>
        <w:keepNext w:val="0"/>
        <w:keepLines w:val="0"/>
        <w:spacing w:before="120" w:after="120" w:line="276" w:lineRule="auto"/>
        <w:ind w:left="793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etap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– wymogi formalne określone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Rozdziale 1;</w:t>
      </w:r>
    </w:p>
    <w:p w:rsidR="00A77B3E">
      <w:pPr>
        <w:keepNext w:val="0"/>
        <w:keepLines w:val="0"/>
        <w:spacing w:before="120" w:after="120" w:line="276" w:lineRule="auto"/>
        <w:ind w:left="793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etap II – zgodność wniosku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obowiązującymi przepisami prawa, zgodnie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4;</w:t>
      </w:r>
    </w:p>
    <w:p w:rsidR="00A77B3E">
      <w:pPr>
        <w:keepNext w:val="0"/>
        <w:keepLines w:val="0"/>
        <w:spacing w:before="120" w:after="120" w:line="276" w:lineRule="auto"/>
        <w:ind w:left="793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etap III – wykonalność techniczna projektu, zgodnie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5.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/>
        <w:spacing w:before="120" w:after="120" w:line="276" w:lineRule="auto"/>
        <w:ind w:left="453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§ 5.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Złożone projekty muszą być wykonalne technicznie. Za wykonalne technicznie uznaje się projekty, których realizacja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założonym terminie jest możliwa, biorąc pod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uwagę dostępność rzeczową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organizacyjną zasobów niezbędnych do wykonania zadania oraz możliwość przeprowadzenia niezbędnych procedur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uzyskania pozwoleń.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/>
        <w:spacing w:before="120" w:after="120" w:line="276" w:lineRule="auto"/>
        <w:ind w:left="453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§ 6.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etapie oceny projektów wnioskodawca może zostać poproszony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złożenie wyjaśnień lub wyrażenie zgody na dokonanie zmian modyfikujących opis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 projektu.</w:t>
      </w:r>
    </w:p>
    <w:p w:rsidR="00A77B3E">
      <w:pPr>
        <w:keepNext w:val="0"/>
        <w:keepLines/>
        <w:spacing w:before="120" w:after="120" w:line="276" w:lineRule="auto"/>
        <w:ind w:left="453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 złożeniu wyjaśnień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wyrażeniu zgody,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których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dopuszcza się modyfikację oraz łączenie projektów tożsamych,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uzgodnieniu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wnioskodawcą.</w:t>
      </w:r>
    </w:p>
    <w:p w:rsidR="00A77B3E">
      <w:pPr>
        <w:keepNext w:val="0"/>
        <w:keepLines/>
        <w:spacing w:before="120" w:after="120" w:line="276" w:lineRule="auto"/>
        <w:ind w:left="453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przypadku niezłożenia wyjaśnień lub braku akceptacji proponowanych zmian dostosowujących projekt do wymogów lub umożliwiających jego terminową realizację, projekt zostanie oceniony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pierwotnym brzmieniu.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/>
        <w:spacing w:before="120" w:after="120" w:line="276" w:lineRule="auto"/>
        <w:ind w:left="453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§ 8.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Ocena negatywna (nie spełnia) musi zostać uzasadniona.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§ 16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 w:val="0"/>
        <w:spacing w:before="120" w:after="120" w:line="276" w:lineRule="auto"/>
        <w:ind w:left="1020" w:right="0" w:hanging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projekty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wartości od 700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000,00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zł do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500 000,00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zł - do wyczerpania kwoty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000,00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zł;</w:t>
      </w:r>
      <w:r>
        <w:rPr>
          <w:b w:val="0"/>
          <w:i w:val="0"/>
          <w:u w:val="none"/>
        </w:rPr>
        <w:t>”</w:t>
      </w:r>
      <w:r>
        <w:t>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 w:val="0"/>
        <w:spacing w:before="120" w:after="120" w:line="276" w:lineRule="auto"/>
        <w:ind w:left="1020" w:right="0" w:hanging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projekty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wartości poniżej 700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000,00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zł - do wyczerpania puli środków, przewidzianych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budżecie miasta na BBO po uwzględnieniu projektów wybranych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pierwszym progu kwotowym.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jej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Proponuje się zmian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y</w:t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z</w:t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ałącznika do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u</w:t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chwały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dotyczące wprowadzenia zapisów </w:t>
        <w:br/>
        <w:t xml:space="preserve">o kryterium ogólnodostepności, tak aby z efektów jego realizacji mogli korzystać wszyscy mieszkańcy. Dodatkowo, wprowadzono na etapie oceny wniosków możliwość modyfikacji i zakresu zgłoszonego projektu w uzgodnieniu z wnioskodawcą, co pomoże </w:t>
        <w:br/>
        <w:t>w zrozumieniu potrzeb mieszkańców w oparciu o obwiązujące przepisy prawa.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>Ponadto, mając na uwadze realizację projektów w ostatnich latach zwiększono pule kwotowe na ich realizacje.</w:t>
      </w:r>
    </w:p>
    <w:sectPr>
      <w:footerReference w:type="default" r:id="rId5"/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961F98CB-A159-421A-9658-160115A5D99F.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961F98CB-A159-421A-9658-160115A5D99F. Podpisany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XVI/138/25 z dnia 28 kwietnia 2025 r.</dc:title>
  <dc:subject>zmieniająca uchwałę nr XIII/169/19 Rady Miejskiej w^Bytomiu w^sprawie Bytomskiego Budżetu Obywatelskiego</dc:subject>
  <dc:creator>asteuer</dc:creator>
  <cp:lastModifiedBy>asteuer</cp:lastModifiedBy>
  <cp:revision>1</cp:revision>
  <dcterms:created xsi:type="dcterms:W3CDTF">2025-04-29T08:39:55Z</dcterms:created>
  <dcterms:modified xsi:type="dcterms:W3CDTF">2025-04-29T08:39:55Z</dcterms:modified>
  <cp:category>Akt prawny</cp:category>
</cp:coreProperties>
</file>