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075F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D075F0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D075F0">
      <w:pPr>
        <w:keepNext/>
        <w:spacing w:after="480" w:line="276" w:lineRule="auto"/>
        <w:jc w:val="center"/>
      </w:pPr>
      <w:r>
        <w:rPr>
          <w:b/>
        </w:rPr>
        <w:t xml:space="preserve">w sprawie wniesienia do Wojewódzkiego Sądu Administracyjnego w Gliwicach skargi na rozstrzygnięcie nadzorcze nr IFIII.4131.1.26.2025 Wojewody Śląskiego z dnia </w:t>
      </w:r>
      <w:r>
        <w:rPr>
          <w:b/>
        </w:rPr>
        <w:t>17 marca 2025 r.</w:t>
      </w:r>
    </w:p>
    <w:p w:rsidR="00A77B3E" w:rsidRDefault="00D075F0">
      <w:pPr>
        <w:keepLines/>
        <w:spacing w:before="120" w:after="120" w:line="276" w:lineRule="auto"/>
        <w:ind w:firstLine="227"/>
      </w:pPr>
      <w:r>
        <w:t>Na podstawie art. 98 ust. 1 i 3 ustawy z dnia 8 marca 1990 r. o samorządzie gminnym (Dz. U. z 2024 r. poz. 1465, z </w:t>
      </w:r>
      <w:proofErr w:type="spellStart"/>
      <w:r>
        <w:t>późn</w:t>
      </w:r>
      <w:proofErr w:type="spellEnd"/>
      <w:r>
        <w:t>. zm.) oraz art. 3 § 2 </w:t>
      </w:r>
      <w:proofErr w:type="spellStart"/>
      <w:r>
        <w:t>pkt</w:t>
      </w:r>
      <w:proofErr w:type="spellEnd"/>
      <w:r>
        <w:t> 7 ustawy z dnia 30 sierpnia 2002 r. Prawo o postępowaniu przed sądami administracyjnymi (Dz. </w:t>
      </w:r>
      <w:r>
        <w:t>U. z 2024 r. poz. 935, z </w:t>
      </w:r>
      <w:proofErr w:type="spellStart"/>
      <w:r>
        <w:t>późn</w:t>
      </w:r>
      <w:proofErr w:type="spellEnd"/>
      <w:r>
        <w:t>. zm.) uchwala się, co następuje:</w:t>
      </w:r>
    </w:p>
    <w:p w:rsidR="00A77B3E" w:rsidRDefault="00D075F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Wnieść do Wojewódzkiego Sądu Administracyjnego w Gliwicach skargę na rozstrzygnięcie nadzorcze nr IFIII.4131.1.26.2025 Wojewody Śląskiego z dnia 17 marca 2025 r. stwierdzające nieważność c</w:t>
      </w:r>
      <w:r>
        <w:t>zęści uchwały nr XIV/112/25 Rady Miejskiej w Bytomiu z dnia 10 lutego 2025 r. w sprawie uchwalenia miejscowego planu zagospodarowania przestrzennego dla terenu położonego w rejonie ulic: Dworskiej, Strzelców Bytomskich i Stanisława Witczaka w Bytomiu – eta</w:t>
      </w:r>
      <w:r>
        <w:t>p II.</w:t>
      </w:r>
    </w:p>
    <w:p w:rsidR="00A77B3E" w:rsidRDefault="00D075F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 przypadku niekorzystnego dla Miasta Bytom orzeczenia Wojewódzkiego Sądu Administracyjnego w Gliwicach w sprawie, o której mowa w § 1, wnieść od tego orzeczenia skargę kasacyjną do Naczelnego Sądu Administracyjnego w Warszawie.</w:t>
      </w:r>
    </w:p>
    <w:p w:rsidR="00A77B3E" w:rsidRDefault="00D075F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</w:t>
      </w:r>
      <w:r>
        <w:t>chwały powierza się Prezydentowi Miasta.</w:t>
      </w:r>
    </w:p>
    <w:p w:rsidR="00A77B3E" w:rsidRDefault="00D075F0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z dniem podjęcia.</w:t>
      </w:r>
    </w:p>
    <w:p w:rsidR="00DC50BE" w:rsidRDefault="00DC50BE">
      <w:pPr>
        <w:rPr>
          <w:rFonts w:eastAsia="Times New Roman" w:cs="Times New Roman"/>
          <w:szCs w:val="20"/>
        </w:rPr>
      </w:pPr>
    </w:p>
    <w:p w:rsidR="00DC50BE" w:rsidRDefault="00D075F0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Rozstrzygnięciem nadzorczym nr IFIII.4131.1.26.2025 z dnia 17 marca 2025 r. Wojewoda Śląski stwierdził nieważność uchwały nr XIV/112/25 Rady Miejskiej w Bytomiu z dnia 10 lutego 2025 r. w sprawie uchwalenia miejscowego planu zagospodarowania przestrzennego</w:t>
      </w:r>
      <w:r>
        <w:rPr>
          <w:rFonts w:eastAsia="Times New Roman" w:cs="Times New Roman"/>
          <w:szCs w:val="20"/>
        </w:rPr>
        <w:t xml:space="preserve"> dla terenu położonego w rejonie ulic: Dworskiej, Strzelców Bytomskich i Stanisława Witczaka w Bytomiu – etap II, w zakresie: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„treści planu: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6 ust. 2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1 lit. a w zakresie symboli: 8MN, 9MN, 12MN;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6 ust. 3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1 w zakresie symboli: 8MN, 9MN, 12MN</w:t>
      </w:r>
      <w:r>
        <w:rPr>
          <w:rFonts w:eastAsia="Times New Roman" w:cs="Times New Roman"/>
          <w:szCs w:val="20"/>
        </w:rPr>
        <w:t>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11 ust. 1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1 lit. a w zakresie symboli: 8MN, 9MN, 12MN;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11 ust. 1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2 lit. a w zakresie symboli: 8MN, 9MN, 12MN;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12 ust. 4;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17 ust. 1 w zakresie symboli: 8MN, 9MN, 12MN;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17 ust. 3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1 lit. b w zakresie symboli: 8MN, 9MN, 12MN;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35 ust. 1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2 w zakresie słów: od 24,0 m do 36,0 m (przy uwzględnieniu stanu istniejącego);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35 ust. 1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3 w zakresie słów: od 47,5 m do 55,0 m (przy uwzględnieniu stanu istniejącego);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części graficznej planu: w zakresie terenów oznaczonych </w:t>
      </w:r>
      <w:r>
        <w:rPr>
          <w:rFonts w:eastAsia="Times New Roman" w:cs="Times New Roman"/>
          <w:szCs w:val="20"/>
        </w:rPr>
        <w:t>symbolami 8MN, 9MN, 12MN w ich liniach rozgraniczających.”.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Zdaniem organu nadzorczego ww. uchwała została podjęta z istotnym naruszeniem zasad i trybu sporządzania miejscowego planu zagospodarowania przestrzennego w zakresie odległości od cmentarzy, tym s</w:t>
      </w:r>
      <w:r>
        <w:rPr>
          <w:rFonts w:eastAsia="Times New Roman" w:cs="Times New Roman"/>
          <w:szCs w:val="20"/>
        </w:rPr>
        <w:t>amym zarzucając naruszenie rozporządzenia Ministra Gospodarki Komunalnej z dnia 25 sierpnia 1959 r. w sprawie określenia, jakie tereny pod względem sanitarnym są odpowiednie na cmentarze (Dz. U. z 1959 r. nr 52 poz. 315), gdzie w § 3 ust. 1 stwierdza się j</w:t>
      </w:r>
      <w:r>
        <w:rPr>
          <w:rFonts w:eastAsia="Times New Roman" w:cs="Times New Roman"/>
          <w:szCs w:val="20"/>
        </w:rPr>
        <w:t>ednoznacznie, że odległość cmentarza od zabudowań mieszkalnych powinna wynosić co najmniej 150 m, przy czym odległość ta może być zmniejszona do 50 m pod warunkiem podłączenia do sieci wodociągowej wszystkich budynków położonych w takiej odległości. Jednak</w:t>
      </w:r>
      <w:r>
        <w:rPr>
          <w:rFonts w:eastAsia="Times New Roman" w:cs="Times New Roman"/>
          <w:szCs w:val="20"/>
        </w:rPr>
        <w:t xml:space="preserve"> odległość budynków mieszkalnych od granicy cmentarza w żadnym wypadku nie może być mniejsza niż 50 m.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Stanowisko organu nadzoru w zakresie: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„treści planu: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6 ust. 2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1 lit. a w zakresie symboli: 8MN, 9MN, 12MN;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6 ust. 3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1 w zakresie symboli:</w:t>
      </w:r>
      <w:r>
        <w:rPr>
          <w:rFonts w:eastAsia="Times New Roman" w:cs="Times New Roman"/>
          <w:szCs w:val="20"/>
        </w:rPr>
        <w:t xml:space="preserve"> 8MN, 9MN, 12MN;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11 ust. 1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1 lit. a w zakresie symboli: 8MN, 9MN, 12MN;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11 ust. 1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2 lit. a w zakresie symboli: 8MN, 9MN, 12MN;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- § 12 ust. 4;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17 ust.1 w zakresie symboli: 8MN, 9MN, 12MN;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§ 17 ust. 3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1 lit. b w zakresie symboli: 8M</w:t>
      </w:r>
      <w:r>
        <w:rPr>
          <w:rFonts w:eastAsia="Times New Roman" w:cs="Times New Roman"/>
          <w:szCs w:val="20"/>
        </w:rPr>
        <w:t>N, 9MN, 12MN;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części graficznej planu: w zakresie terenów oznaczonych symbolami 8MN, 9MN, 12MN w ich liniach rozgraniczających” jest błędne, a przedmiotowa uchwała Rady  Miejskiej w Bytomiu w tym zakresie nie narusza prawa.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zakresie zarzutu dotyczącego</w:t>
      </w:r>
      <w:r>
        <w:rPr>
          <w:rFonts w:eastAsia="Times New Roman" w:cs="Times New Roman"/>
          <w:szCs w:val="20"/>
        </w:rPr>
        <w:t xml:space="preserve"> naruszenia art. 6 ust. 2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1 ustawy z dnia 27 marca 2003 r. o planowaniu i zagospodarowaniu przestrzennym (Dz. U. z 2024 r. poz. 1130,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 xml:space="preserve">. zm.), poprzez wprowadzenie zapisów uniemożliwiających, zdaniem organu nadzorczego, zagospodarowanie – zgodnie </w:t>
      </w:r>
      <w:r>
        <w:rPr>
          <w:rFonts w:eastAsia="Times New Roman" w:cs="Times New Roman"/>
          <w:szCs w:val="20"/>
        </w:rPr>
        <w:t>z zapisami planu – niezabudowanych działek na terenach oznaczonych w ww. uchwale symbolami: 8MN, 9MN i 12MN należy przede wszystkim zwrócić uwagę na stan istniejący, który ma kluczowe znaczenie w przedmiotowej sprawie. Wskazane tereny stanowią część większ</w:t>
      </w:r>
      <w:r>
        <w:rPr>
          <w:rFonts w:eastAsia="Times New Roman" w:cs="Times New Roman"/>
          <w:szCs w:val="20"/>
        </w:rPr>
        <w:t>ego osiedla zabudowy mieszkaniowej jednorodzinnej zrealizowanego w latach 30. XX w., przy czym znaczna część substancji budowlanej tego osiedla została w minionych latach wymieniona na nowe budynki. Generalnie jednak została poszanowana i zachowana skala z</w:t>
      </w:r>
      <w:r>
        <w:rPr>
          <w:rFonts w:eastAsia="Times New Roman" w:cs="Times New Roman"/>
          <w:szCs w:val="20"/>
        </w:rPr>
        <w:t>abudowy, jej charakter oraz układ urbanistyczny osiedla. Z osiedlem tym sąsiaduje od strony południowej – oddzielony ulicą – cmentarz założony w latach 20. XX w., natomiast od zachodu – oddzielony pasem zieleni – sąsiaduje cmentarz założony w podobnym okre</w:t>
      </w:r>
      <w:r>
        <w:rPr>
          <w:rFonts w:eastAsia="Times New Roman" w:cs="Times New Roman"/>
          <w:szCs w:val="20"/>
        </w:rPr>
        <w:t>sie co samo osiedle, tj. w latach 30. XX w. Sąsiedztwo cmentarzy i zabudowy mieszkaniowej funkcjonuje w tej przestrzeni zatem bez mała 90 lat.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Tereny osiedla mieszkaniowego oznaczone w ww. uchwale symbolami: 8MN, 9MN, 12MN przeznaczone zostały, zgodnie z §</w:t>
      </w:r>
      <w:r>
        <w:rPr>
          <w:rFonts w:eastAsia="Times New Roman" w:cs="Times New Roman"/>
          <w:szCs w:val="20"/>
        </w:rPr>
        <w:t xml:space="preserve"> 17 ust. 1 uchwały nr XIV/112/25 Rady Miejskiej w Bytomiu z dnia 10 lutego 2025 r. w sprawie uchwalenia miejscowego planu zagospodarowania przestrzennego dla terenu położonego w rejonie ulic: Dworskiej, Strzelców Bytomskich i Stanisława Witczaka w Bytomiu </w:t>
      </w:r>
      <w:r>
        <w:rPr>
          <w:rFonts w:eastAsia="Times New Roman" w:cs="Times New Roman"/>
          <w:szCs w:val="20"/>
        </w:rPr>
        <w:t>– etap II, pod zabudowę mieszkaniową jednorodzinną. Jednocześnie część tych terenów objęta jest strefą 50 m odległości od granicy istniejącego cmentarza. W zasięgu tej strefy – zgodnie z § 12 ust. 3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1 tej uchwały – zakazano lokalizacji nowej zabudowy m</w:t>
      </w:r>
      <w:r>
        <w:rPr>
          <w:rFonts w:eastAsia="Times New Roman" w:cs="Times New Roman"/>
          <w:szCs w:val="20"/>
        </w:rPr>
        <w:t>ieszkaniowej. Jednocześnie dopuszczono w tej strefie przebudowę, rozbudowę i odbudowę istniejącej zabudowy jednorodzinnej.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tym momencie należy jednoznacznie podkreślić, że wszystkie działki leżące na terenach 8MN i 12MN, a objęte strefą 50 m od granicy i</w:t>
      </w:r>
      <w:r>
        <w:rPr>
          <w:rFonts w:eastAsia="Times New Roman" w:cs="Times New Roman"/>
          <w:szCs w:val="20"/>
        </w:rPr>
        <w:t>stniejącego cmentarza w taki sposób, że nie można pomiędzy granicą tej strefy a linią zabudowy „zmieścić” zabudowy mieszkaniowej – są działkami dzisiaj już zabudowanymi.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Prawidłowość przyjętych rozwiązań planistycznych umożliwiających dalsze utrzymanie ist</w:t>
      </w:r>
      <w:r>
        <w:rPr>
          <w:rFonts w:eastAsia="Times New Roman" w:cs="Times New Roman"/>
          <w:szCs w:val="20"/>
        </w:rPr>
        <w:t>niejącego stanu zabudowy – jednak bez możliwości realizacji całkowicie nowych budynków mieszkalnych (poprzez np. tworzenie II linii zabudowy) – znajduje oparcie w ugruntowanym orzecznictwie oraz aktualnych komentarzach prawnych.</w:t>
      </w:r>
    </w:p>
    <w:p w:rsidR="00DC50BE" w:rsidRDefault="00D075F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świetle powyższych wyjaśn</w:t>
      </w:r>
      <w:r>
        <w:rPr>
          <w:rFonts w:eastAsia="Times New Roman" w:cs="Times New Roman"/>
          <w:szCs w:val="20"/>
        </w:rPr>
        <w:t xml:space="preserve">ień zasadne jest wniesienie skargi na rozstrzygnięcie nadzorcze Wojewody Śląskiego do Wojewódzkiego Sądu Administracyjnego w Gliwicach, </w:t>
      </w:r>
      <w:r>
        <w:rPr>
          <w:rFonts w:eastAsia="Times New Roman" w:cs="Times New Roman"/>
          <w:szCs w:val="20"/>
        </w:rPr>
        <w:lastRenderedPageBreak/>
        <w:t>a w przypadku niekorzystnego dla Miasta Bytom orzeczenia Wojewódzkiego Sądu Administracyjnego, wniesienie od tego orzecz</w:t>
      </w:r>
      <w:r>
        <w:rPr>
          <w:rFonts w:eastAsia="Times New Roman" w:cs="Times New Roman"/>
          <w:szCs w:val="20"/>
        </w:rPr>
        <w:t>enia skargi kasacyjnej do Naczelnego Sądu Administracyjnego w Warszawie.</w:t>
      </w:r>
    </w:p>
    <w:sectPr w:rsidR="00DC50BE" w:rsidSect="00DC50B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0BE" w:rsidRDefault="00DC50BE" w:rsidP="00DC50BE">
      <w:r>
        <w:separator/>
      </w:r>
    </w:p>
  </w:endnote>
  <w:endnote w:type="continuationSeparator" w:id="0">
    <w:p w:rsidR="00DC50BE" w:rsidRDefault="00DC50BE" w:rsidP="00DC50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C50B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C50BE" w:rsidRDefault="00D075F0">
          <w:pPr>
            <w:rPr>
              <w:sz w:val="18"/>
            </w:rPr>
          </w:pPr>
          <w:r>
            <w:rPr>
              <w:sz w:val="18"/>
            </w:rPr>
            <w:t>Id: E3A0F4DB-3333-4C31-96CD-F2F2C7545FD8.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C50BE" w:rsidRDefault="00D075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C50B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DC50BE">
            <w:rPr>
              <w:sz w:val="18"/>
            </w:rPr>
            <w:fldChar w:fldCharType="end"/>
          </w:r>
        </w:p>
      </w:tc>
    </w:tr>
  </w:tbl>
  <w:p w:rsidR="00DC50BE" w:rsidRDefault="00DC50BE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C50B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C50BE" w:rsidRDefault="00D075F0">
          <w:pPr>
            <w:rPr>
              <w:sz w:val="18"/>
            </w:rPr>
          </w:pPr>
          <w:r>
            <w:rPr>
              <w:sz w:val="18"/>
            </w:rPr>
            <w:t>Id: E3A0F4DB-3333-4C31-96CD-F2F2C7545FD8.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C50BE" w:rsidRDefault="00D075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C50B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DC50BE">
            <w:rPr>
              <w:sz w:val="18"/>
            </w:rPr>
            <w:fldChar w:fldCharType="end"/>
          </w:r>
        </w:p>
      </w:tc>
    </w:tr>
  </w:tbl>
  <w:p w:rsidR="00DC50BE" w:rsidRDefault="00DC50BE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0BE" w:rsidRDefault="00DC50BE" w:rsidP="00DC50BE">
      <w:r>
        <w:separator/>
      </w:r>
    </w:p>
  </w:footnote>
  <w:footnote w:type="continuationSeparator" w:id="0">
    <w:p w:rsidR="00DC50BE" w:rsidRDefault="00DC50BE" w:rsidP="00DC50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  <w:rsid w:val="00D075F0"/>
    <w:rsid w:val="00DC5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50BE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1047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6812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wniesienia do Wojewódzkiego Sądu Administracyjnego w^Gliwicach skargi na rozstrzygnięcie nadzorcze nr IFIII.4131.1.26.2025 Wojewody Śląskiego z^dnia 17^marca 2025^r.</dc:subject>
  <dc:creator>bdobrowolska</dc:creator>
  <cp:lastModifiedBy>asteuer</cp:lastModifiedBy>
  <cp:revision>2</cp:revision>
  <dcterms:created xsi:type="dcterms:W3CDTF">2025-04-17T10:23:00Z</dcterms:created>
  <dcterms:modified xsi:type="dcterms:W3CDTF">2025-04-17T10:23:00Z</dcterms:modified>
  <cp:category>Akt prawny</cp:category>
</cp:coreProperties>
</file>