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910FCC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910FCC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910FCC">
      <w:pPr>
        <w:keepNext/>
        <w:spacing w:after="480" w:line="276" w:lineRule="auto"/>
        <w:jc w:val="center"/>
      </w:pPr>
      <w:r>
        <w:rPr>
          <w:b/>
        </w:rPr>
        <w:t>zmieniająca uchwałę nr XIII/169/19 Rady Miejskiej w Bytomiu w sprawie Bytomskiego Budżetu Obywatelskiego</w:t>
      </w:r>
    </w:p>
    <w:p w:rsidR="00A77B3E" w:rsidRDefault="00910FCC">
      <w:pPr>
        <w:keepLines/>
        <w:spacing w:before="120" w:after="120" w:line="276" w:lineRule="auto"/>
        <w:ind w:firstLine="227"/>
      </w:pPr>
      <w:r>
        <w:t>Na podstawie art. 5a ust. 7 i art. 42 ustawy z dnia 8 </w:t>
      </w:r>
      <w:r>
        <w:t>marca 1990 r. o samorządzie gminnym (Dz. U. z 2024 r., poz. 1465, z </w:t>
      </w:r>
      <w:proofErr w:type="spellStart"/>
      <w:r>
        <w:t>późn</w:t>
      </w:r>
      <w:proofErr w:type="spellEnd"/>
      <w:r>
        <w:t>. zm.), uchwala się, co następuje:</w:t>
      </w:r>
    </w:p>
    <w:p w:rsidR="00A77B3E" w:rsidRDefault="00910FCC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uchwale nr XIII/169/19 Rady Miejskiej w Bytomiu z dnia 24 maja 2019 r. w sprawie Bytomskiego Budżetu Obywatelskiego z </w:t>
      </w:r>
      <w:proofErr w:type="spellStart"/>
      <w:r>
        <w:t>późn</w:t>
      </w:r>
      <w:proofErr w:type="spellEnd"/>
      <w:r>
        <w:t>. zm. (Dz. Urz. Woj.</w:t>
      </w:r>
      <w:r>
        <w:t xml:space="preserve"> Śl. z 2019 r. poz. 4038,</w:t>
      </w:r>
      <w:r>
        <w:br/>
        <w:t>z 2020 r. poz. 2748) w załączniku do uchwały wprowadza się następujące zmiany:</w:t>
      </w:r>
    </w:p>
    <w:p w:rsidR="00A77B3E" w:rsidRDefault="00910FCC">
      <w:pPr>
        <w:spacing w:before="120" w:after="120" w:line="276" w:lineRule="auto"/>
        <w:ind w:left="340" w:hanging="227"/>
      </w:pPr>
      <w:r>
        <w:t>1) </w:t>
      </w:r>
      <w:r>
        <w:t>w § 1:</w:t>
      </w:r>
    </w:p>
    <w:p w:rsidR="00A77B3E" w:rsidRDefault="00910FCC">
      <w:pPr>
        <w:keepLines/>
        <w:spacing w:before="120" w:after="120" w:line="276" w:lineRule="auto"/>
        <w:ind w:left="567" w:hanging="227"/>
      </w:pPr>
      <w:r>
        <w:t>a) </w:t>
      </w:r>
      <w:r>
        <w:t>ust. 1 otrzymuje brzmienie:</w:t>
      </w:r>
    </w:p>
    <w:p w:rsidR="00A77B3E" w:rsidRDefault="00910FCC">
      <w:pPr>
        <w:keepLines/>
        <w:spacing w:before="120" w:after="120" w:line="276" w:lineRule="auto"/>
        <w:ind w:left="680" w:firstLine="227"/>
      </w:pPr>
      <w:r>
        <w:t>„</w:t>
      </w:r>
      <w:r>
        <w:t>1. </w:t>
      </w:r>
      <w:r>
        <w:t xml:space="preserve">W Bytomskim Budżecie Obywatelskim, zwanym dalej BBO, można składać projekty, których realizacja odpowiada </w:t>
      </w:r>
      <w:r>
        <w:t>na zidentyfikowane potrzeby społeczne, mieści się w kompetencjach samorządu miasta Bytomia i jest możliwa do wykonania w ciągu jednego roku budżetowego, a efekt realizacji tych projektów jest ogólnodostępny dla mieszkańców Bytomia i nieodpłatny.</w:t>
      </w:r>
      <w:r>
        <w:t>”</w:t>
      </w:r>
      <w:r>
        <w:t>,</w:t>
      </w:r>
    </w:p>
    <w:p w:rsidR="00A77B3E" w:rsidRDefault="00910FCC">
      <w:pPr>
        <w:keepLines/>
        <w:spacing w:before="120" w:after="120" w:line="276" w:lineRule="auto"/>
        <w:ind w:left="567" w:hanging="227"/>
      </w:pPr>
      <w:r>
        <w:t>b) </w:t>
      </w:r>
      <w:r>
        <w:t>ust. </w:t>
      </w:r>
      <w:r>
        <w:t>2 otrzymuje brzmienie:</w:t>
      </w:r>
    </w:p>
    <w:p w:rsidR="00A77B3E" w:rsidRDefault="00910FCC">
      <w:pPr>
        <w:keepLines/>
        <w:spacing w:before="120" w:after="120" w:line="276" w:lineRule="auto"/>
        <w:ind w:left="680" w:firstLine="227"/>
      </w:pPr>
      <w:r>
        <w:t>„</w:t>
      </w:r>
      <w:r>
        <w:t>2. </w:t>
      </w:r>
      <w:r>
        <w:t xml:space="preserve">Wartość projektu ujętego we wniosku nie może przekroczyć kwoty przewidzianej w ramach danego progu kwotowego, o których mowa w § 16 ust. 2. Wniosek, którego wartość po weryfikacji przekracza próg określony w § 16 ust. 2 </w:t>
      </w:r>
      <w:proofErr w:type="spellStart"/>
      <w:r>
        <w:t>pkt</w:t>
      </w:r>
      <w:proofErr w:type="spellEnd"/>
      <w:r>
        <w:t> 1 pod</w:t>
      </w:r>
      <w:r>
        <w:t>lega odrzuceniu.</w:t>
      </w:r>
      <w:r>
        <w:t>”</w:t>
      </w:r>
      <w:r>
        <w:t>,</w:t>
      </w:r>
    </w:p>
    <w:p w:rsidR="00A77B3E" w:rsidRDefault="00910FCC">
      <w:pPr>
        <w:keepLines/>
        <w:spacing w:before="120" w:after="120" w:line="276" w:lineRule="auto"/>
        <w:ind w:left="567" w:hanging="227"/>
      </w:pPr>
      <w:r>
        <w:t>c) </w:t>
      </w:r>
      <w:r>
        <w:t>ust. 3 otrzymuje brzmienie:</w:t>
      </w:r>
    </w:p>
    <w:p w:rsidR="00A77B3E" w:rsidRDefault="00910FCC">
      <w:pPr>
        <w:keepLines/>
        <w:spacing w:before="120" w:after="120" w:line="276" w:lineRule="auto"/>
        <w:ind w:left="680" w:firstLine="227"/>
      </w:pPr>
      <w:r>
        <w:t>„</w:t>
      </w:r>
      <w:r>
        <w:t>3. </w:t>
      </w:r>
      <w:r>
        <w:t>Projekty o charakterze inwestycyjnym i remontowym muszą dotyczyć nieruchomości wchodzących w skład zasobów nieruchomości we władaniu Prezydenta Bytomia.</w:t>
      </w:r>
      <w:r>
        <w:t>”</w:t>
      </w:r>
      <w:r>
        <w:t>;</w:t>
      </w:r>
    </w:p>
    <w:p w:rsidR="00A77B3E" w:rsidRDefault="00910FCC">
      <w:pPr>
        <w:spacing w:before="120" w:after="120" w:line="276" w:lineRule="auto"/>
        <w:ind w:left="340" w:hanging="227"/>
      </w:pPr>
      <w:r>
        <w:t>2) </w:t>
      </w:r>
      <w:r>
        <w:t>§ 3 otrzymuje brzmienie:</w:t>
      </w:r>
    </w:p>
    <w:p w:rsidR="00A77B3E" w:rsidRDefault="00910FCC">
      <w:pPr>
        <w:keepLines/>
        <w:spacing w:before="120" w:after="120" w:line="276" w:lineRule="auto"/>
        <w:ind w:left="453" w:firstLine="227"/>
      </w:pPr>
      <w:r>
        <w:t>„</w:t>
      </w:r>
      <w:r>
        <w:t>§ 3. </w:t>
      </w:r>
      <w:r>
        <w:t>Ocena zgłoszo</w:t>
      </w:r>
      <w:r>
        <w:t>nych projektów składa się z trzech etapów:</w:t>
      </w:r>
    </w:p>
    <w:p w:rsidR="00A77B3E" w:rsidRDefault="00910FCC">
      <w:pPr>
        <w:spacing w:before="120" w:after="120" w:line="276" w:lineRule="auto"/>
        <w:ind w:left="793" w:hanging="227"/>
      </w:pPr>
      <w:r>
        <w:t>1) </w:t>
      </w:r>
      <w:r>
        <w:t>etap I – wymogi formalne określone w Rozdziale 1;</w:t>
      </w:r>
    </w:p>
    <w:p w:rsidR="00A77B3E" w:rsidRDefault="00910FCC">
      <w:pPr>
        <w:spacing w:before="120" w:after="120" w:line="276" w:lineRule="auto"/>
        <w:ind w:left="793" w:hanging="227"/>
      </w:pPr>
      <w:r>
        <w:t>2) </w:t>
      </w:r>
      <w:r>
        <w:t>etap II – zgodność wniosku z obowiązującymi przepisami prawa, zgodnie z § 4;</w:t>
      </w:r>
    </w:p>
    <w:p w:rsidR="00A77B3E" w:rsidRDefault="00910FCC">
      <w:pPr>
        <w:spacing w:before="120" w:after="120" w:line="276" w:lineRule="auto"/>
        <w:ind w:left="793" w:hanging="227"/>
      </w:pPr>
      <w:r>
        <w:t>3) </w:t>
      </w:r>
      <w:r>
        <w:t>etap III – wykonalność techniczna projektu, zgodnie z § 5.</w:t>
      </w:r>
      <w:r>
        <w:t>”</w:t>
      </w:r>
      <w:r>
        <w:t>;</w:t>
      </w:r>
    </w:p>
    <w:p w:rsidR="00A77B3E" w:rsidRDefault="00910FCC">
      <w:pPr>
        <w:spacing w:before="120" w:after="120" w:line="276" w:lineRule="auto"/>
        <w:ind w:left="340" w:hanging="227"/>
      </w:pPr>
      <w:r>
        <w:t>3) </w:t>
      </w:r>
      <w:r>
        <w:t>§ 5 otrzymuje</w:t>
      </w:r>
      <w:r>
        <w:t xml:space="preserve"> brzmienie:</w:t>
      </w:r>
    </w:p>
    <w:p w:rsidR="00A77B3E" w:rsidRDefault="00910FCC">
      <w:pPr>
        <w:keepLines/>
        <w:spacing w:before="120" w:after="120" w:line="276" w:lineRule="auto"/>
        <w:ind w:left="453" w:firstLine="227"/>
      </w:pPr>
      <w:r>
        <w:lastRenderedPageBreak/>
        <w:t>„</w:t>
      </w:r>
      <w:r>
        <w:t>§ 5. </w:t>
      </w:r>
      <w:r>
        <w:t>Złożone projekty muszą być wykonalne technicznie. Za wykonalne technicznie uznaje się projekty, których realizacja w założonym terminie jest możliwa, biorąc pod uwagę dostępność rzeczową i organizacyjną zasobów niezbędnych do wykonania za</w:t>
      </w:r>
      <w:r>
        <w:t>dania oraz możliwość przeprowadzenia niezbędnych procedur i uzyskania pozwoleń.</w:t>
      </w:r>
      <w:r>
        <w:t>”</w:t>
      </w:r>
      <w:r>
        <w:t>;</w:t>
      </w:r>
    </w:p>
    <w:p w:rsidR="00A77B3E" w:rsidRDefault="00910FCC">
      <w:pPr>
        <w:spacing w:before="120" w:after="120" w:line="276" w:lineRule="auto"/>
        <w:ind w:left="340" w:hanging="227"/>
      </w:pPr>
      <w:r>
        <w:t>4) </w:t>
      </w:r>
      <w:r>
        <w:t>§ 6 otrzymuje brzmienie:</w:t>
      </w:r>
    </w:p>
    <w:p w:rsidR="00A77B3E" w:rsidRDefault="00910FCC">
      <w:pPr>
        <w:keepLines/>
        <w:spacing w:before="120" w:after="120" w:line="276" w:lineRule="auto"/>
        <w:ind w:left="453" w:firstLine="227"/>
      </w:pPr>
      <w:r>
        <w:t>„</w:t>
      </w:r>
      <w:r>
        <w:t>§ 6. 1. </w:t>
      </w:r>
      <w:r>
        <w:t xml:space="preserve">Na etapie oceny projektów wnioskodawca może zostać poproszony o złożenie wyjaśnień lub wyrażenie zgody na dokonanie zmian modyfikujących </w:t>
      </w:r>
      <w:r>
        <w:t>opis i zakres projektu.</w:t>
      </w:r>
    </w:p>
    <w:p w:rsidR="00A77B3E" w:rsidRDefault="00910FCC">
      <w:pPr>
        <w:keepLines/>
        <w:spacing w:before="120" w:after="120" w:line="276" w:lineRule="auto"/>
        <w:ind w:left="453" w:firstLine="340"/>
      </w:pPr>
      <w:r>
        <w:t>2. </w:t>
      </w:r>
      <w:r>
        <w:t>Po złożeniu wyjaśnień i wyrażeniu zgody, o których mowa w ust. 1 dopuszcza się modyfikację oraz łączenie projektów tożsamych, w uzgodnieniu z wnioskodawcą.</w:t>
      </w:r>
    </w:p>
    <w:p w:rsidR="00A77B3E" w:rsidRDefault="00910FCC">
      <w:pPr>
        <w:keepLines/>
        <w:spacing w:before="120" w:after="120" w:line="276" w:lineRule="auto"/>
        <w:ind w:left="453" w:firstLine="340"/>
      </w:pPr>
      <w:r>
        <w:t>3. </w:t>
      </w:r>
      <w:r>
        <w:t>W przypadku niezłożenia wyjaśnień lub braku akceptacji proponowanych z</w:t>
      </w:r>
      <w:r>
        <w:t>mian dostosowujących projekt do wymogów lub umożliwiających jego terminową realizację,  projekt zostanie oceniony w pierwotnym brzmieniu.</w:t>
      </w:r>
      <w:r>
        <w:t>”</w:t>
      </w:r>
      <w:r>
        <w:t>;</w:t>
      </w:r>
    </w:p>
    <w:p w:rsidR="00A77B3E" w:rsidRDefault="00910FCC">
      <w:pPr>
        <w:spacing w:before="120" w:after="120" w:line="276" w:lineRule="auto"/>
        <w:ind w:left="340" w:hanging="227"/>
      </w:pPr>
      <w:r>
        <w:t>5) </w:t>
      </w:r>
      <w:r>
        <w:t>§ 8 otrzymuje brzmienie:</w:t>
      </w:r>
    </w:p>
    <w:p w:rsidR="00A77B3E" w:rsidRDefault="00910FCC">
      <w:pPr>
        <w:keepLines/>
        <w:spacing w:before="120" w:after="120" w:line="276" w:lineRule="auto"/>
        <w:ind w:left="453" w:firstLine="227"/>
      </w:pPr>
      <w:r>
        <w:t>„</w:t>
      </w:r>
      <w:r>
        <w:t>§ 8. </w:t>
      </w:r>
      <w:r>
        <w:t>Ocena negatywna (nie spełnia) musi zostać uzasadniona.</w:t>
      </w:r>
      <w:r>
        <w:t>”</w:t>
      </w:r>
      <w:r>
        <w:t>;</w:t>
      </w:r>
    </w:p>
    <w:p w:rsidR="00A77B3E" w:rsidRDefault="00910FCC">
      <w:pPr>
        <w:spacing w:before="120" w:after="120" w:line="276" w:lineRule="auto"/>
        <w:ind w:left="340" w:hanging="227"/>
      </w:pPr>
      <w:r>
        <w:t>6) </w:t>
      </w:r>
      <w:r>
        <w:t>w § 16 w ust. 2:</w:t>
      </w:r>
    </w:p>
    <w:p w:rsidR="00A77B3E" w:rsidRDefault="00910FCC">
      <w:pPr>
        <w:keepLines/>
        <w:spacing w:before="120" w:after="120" w:line="276" w:lineRule="auto"/>
        <w:ind w:left="567" w:hanging="227"/>
      </w:pPr>
      <w:r>
        <w:t>a) </w:t>
      </w:r>
      <w:proofErr w:type="spellStart"/>
      <w:r>
        <w:t>pk</w:t>
      </w:r>
      <w:r>
        <w:t>t</w:t>
      </w:r>
      <w:proofErr w:type="spellEnd"/>
      <w:r>
        <w:t> 1 otrzymuje brzmienie:</w:t>
      </w:r>
    </w:p>
    <w:p w:rsidR="00A77B3E" w:rsidRDefault="00910FCC">
      <w:pPr>
        <w:spacing w:before="120" w:after="120" w:line="276" w:lineRule="auto"/>
        <w:ind w:left="1020" w:hanging="340"/>
      </w:pPr>
      <w:r>
        <w:t>„</w:t>
      </w:r>
      <w:r>
        <w:t>1) </w:t>
      </w:r>
      <w:r>
        <w:t>projekty o wartości od 700 000,00 zł do 2 500 000,00 zł - do wyczerpania kwoty 2 500 000,00 zł;</w:t>
      </w:r>
      <w:r>
        <w:t>”</w:t>
      </w:r>
      <w:r>
        <w:t>,</w:t>
      </w:r>
    </w:p>
    <w:p w:rsidR="00A77B3E" w:rsidRDefault="00910FCC">
      <w:pPr>
        <w:keepLines/>
        <w:spacing w:before="120" w:after="120" w:line="276" w:lineRule="auto"/>
        <w:ind w:left="567" w:hanging="227"/>
      </w:pPr>
      <w:r>
        <w:t>b) </w:t>
      </w:r>
      <w:proofErr w:type="spellStart"/>
      <w:r>
        <w:t>pkt</w:t>
      </w:r>
      <w:proofErr w:type="spellEnd"/>
      <w:r>
        <w:t> 2 otrzymuje brzmienie:</w:t>
      </w:r>
    </w:p>
    <w:p w:rsidR="00A77B3E" w:rsidRDefault="00910FCC">
      <w:pPr>
        <w:spacing w:before="120" w:after="120" w:line="276" w:lineRule="auto"/>
        <w:ind w:left="1020" w:hanging="340"/>
      </w:pPr>
      <w:r>
        <w:t>„</w:t>
      </w:r>
      <w:r>
        <w:t>2) </w:t>
      </w:r>
      <w:r>
        <w:t>projekty o wartości poniżej 700 000,00 zł - do wyczerpania puli środków, przewidzianych w budże</w:t>
      </w:r>
      <w:r>
        <w:t>cie miasta na BBO po uwzględnieniu projektów wybranych</w:t>
      </w:r>
      <w:r>
        <w:br/>
        <w:t>w pierwszym progu kwotowym.</w:t>
      </w:r>
      <w:r>
        <w:t>”</w:t>
      </w:r>
      <w:r>
        <w:t>.</w:t>
      </w:r>
    </w:p>
    <w:p w:rsidR="00A77B3E" w:rsidRDefault="00910FCC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910FCC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po upływie 14 dni od dnia jej ogłoszenia w Dzienniku Urzędowym Województwa Śląskiego.</w:t>
      </w:r>
    </w:p>
    <w:p w:rsidR="001D4683" w:rsidRDefault="001D4683">
      <w:pP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</w:p>
    <w:p w:rsidR="001D4683" w:rsidRDefault="00910FCC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eastAsia="en-US" w:bidi="ar-SA"/>
        </w:rPr>
        <w:t>uzasadnienie</w:t>
      </w:r>
    </w:p>
    <w:p w:rsidR="001D4683" w:rsidRDefault="00910FCC">
      <w:pPr>
        <w:spacing w:before="120" w:after="120"/>
        <w:ind w:firstLine="227"/>
        <w:rPr>
          <w:rFonts w:eastAsia="Times New Roman" w:cs="Times New Roman"/>
          <w:color w:val="000000"/>
          <w:szCs w:val="20"/>
          <w:shd w:val="clear" w:color="auto" w:fill="FFFFFF"/>
        </w:rPr>
      </w:pP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Proponuje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się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zmian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>y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z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ałącznika do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u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chwały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dotyczące wprowadzenia zapisów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  <w:t xml:space="preserve">o kryterium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</w:rPr>
        <w:t>ogólnodostepności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</w:rPr>
        <w:t>, tak aby z efektów jego realizacji mogli korzystać wszyscy mieszkańcy. Dodatkowo, wprowadzono na etapie oceny wniosków możliwość modyfikacji i zakresu zgłoszonego projektu w uzgodnieniu z wniosk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odawcą, co pomoże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  <w:t>w zrozumieniu potrzeb mieszkańców w oparciu o obwiązujące przepisy prawa.</w:t>
      </w:r>
    </w:p>
    <w:p w:rsidR="001D4683" w:rsidRDefault="00910FCC">
      <w:pPr>
        <w:spacing w:before="120" w:after="120"/>
        <w:ind w:firstLine="227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Ponadto, mając na uwadze realizację projektów w ostatnich latach zwiększono pule kwotowe na ich realizacje.</w:t>
      </w:r>
    </w:p>
    <w:sectPr w:rsidR="001D4683" w:rsidSect="001D4683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683" w:rsidRDefault="001D4683" w:rsidP="001D4683">
      <w:r>
        <w:separator/>
      </w:r>
    </w:p>
  </w:endnote>
  <w:endnote w:type="continuationSeparator" w:id="0">
    <w:p w:rsidR="001D4683" w:rsidRDefault="001D4683" w:rsidP="001D46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D468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D4683" w:rsidRDefault="00910FCC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FA38A296-839A-47AC-B754-2F1B0A85CECB.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D4683" w:rsidRDefault="00910FC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D468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1D4683">
            <w:rPr>
              <w:sz w:val="18"/>
            </w:rPr>
            <w:fldChar w:fldCharType="end"/>
          </w:r>
        </w:p>
      </w:tc>
    </w:tr>
  </w:tbl>
  <w:p w:rsidR="001D4683" w:rsidRDefault="001D4683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47"/>
      <w:gridCol w:w="3274"/>
    </w:tblGrid>
    <w:tr w:rsidR="001D4683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D4683" w:rsidRDefault="00910FCC">
          <w:pPr>
            <w:rPr>
              <w:sz w:val="18"/>
            </w:rPr>
          </w:pPr>
          <w:r>
            <w:rPr>
              <w:sz w:val="18"/>
            </w:rPr>
            <w:t>Id: FA38A296-839A-47AC-B754-2F1B0A85CECB.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D4683" w:rsidRDefault="00910FCC">
          <w:pPr>
            <w:jc w:val="right"/>
            <w:rPr>
              <w:sz w:val="18"/>
            </w:rPr>
          </w:pPr>
          <w:r>
            <w:rPr>
              <w:sz w:val="18"/>
            </w:rPr>
            <w:t>Stron</w:t>
          </w:r>
          <w:r>
            <w:rPr>
              <w:sz w:val="18"/>
            </w:rPr>
            <w:t xml:space="preserve">a </w:t>
          </w:r>
          <w:r w:rsidR="001D468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1D4683">
            <w:rPr>
              <w:sz w:val="18"/>
            </w:rPr>
            <w:fldChar w:fldCharType="end"/>
          </w:r>
        </w:p>
      </w:tc>
    </w:tr>
  </w:tbl>
  <w:p w:rsidR="001D4683" w:rsidRDefault="001D4683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683" w:rsidRDefault="001D4683" w:rsidP="001D4683">
      <w:r>
        <w:separator/>
      </w:r>
    </w:p>
  </w:footnote>
  <w:footnote w:type="continuationSeparator" w:id="0">
    <w:p w:rsidR="001D4683" w:rsidRDefault="001D4683" w:rsidP="001D468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D4683"/>
    <w:rsid w:val="00910FCC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D4683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574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XIII/169/19 Rady Miejskiej w^Bytomiu w^sprawie Bytomskiego Budżetu Obywatelskiego</dc:subject>
  <dc:creator>bmichel</dc:creator>
  <cp:lastModifiedBy>asteuer</cp:lastModifiedBy>
  <cp:revision>2</cp:revision>
  <dcterms:created xsi:type="dcterms:W3CDTF">2025-04-14T07:27:00Z</dcterms:created>
  <dcterms:modified xsi:type="dcterms:W3CDTF">2025-04-14T07:27:00Z</dcterms:modified>
  <cp:category>Akt prawny</cp:category>
</cp:coreProperties>
</file>