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XLII/583/21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stawek procentowych bonifikat przy sprzedaży przez Gminę Bytom lokali mieszkalnych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1b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Prezydent Miasta może udzielić bonifikaty od ceny sprzedaży lokali mieszkalnych uprzednio nabytych przez Gminę Bytom od Syndyka Masy Upadłości Spółki „ZARZĄDCA ANO” Sp.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o.o. ORZEŁ Spółka komandytowo-akcyjna, niezależnie od okresu trwania umowy najmu na czas nieoznaczony takiego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Wysokość stawek procentowych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66/3 - 53%;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70a/2 - 53%;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76a/8 - 53%.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Warunkiem udzielenia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jest jednorazowa  wpłata przez najemcę, przed zawarciem umowy sprzedaży, całej ceny sprzedaży lokalu pomniejszonej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bonifikaty oraz kosztów wyceny danego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Dotychczas obowiązujące rozwiązania dotyczące sprzedaży lokali mieszkalnych, o których mowa w § 16  uchwały nr XVII/235/11 Rady Miejskiej w Bytomiu z dnia 28 września 2011 r. w sprawie ustalenia zasad gospodarowania zasobem nieruchomości gminy Bytom (Dz. Urz. Woj. Śl. z 2018 r. poz. 4834), przewidują możliwości udzielenia najemcy zainteresowanemu zakupem użytkowanego lokalu mieszkalnego różnej wysokości bonifikaty od jego wartości, określonej przez rzeczoznawcę majątkowego, w zależności od długości okresu wynajmowania danego lokalu przez najemcę na podstawie umowy najmu zawartej na czas nieoznaczony.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nabyciem przez gminę w 2020 r. od  Syndyka Masy Upadłości Spółki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ZARZĄDCA ANO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Sp. z o.o. ORZEŁ Spółka komandytowo-akcyjna prawa własności lokali mieszkalnych i budynków położonych na terenie miasta Bytomia, zachodzi konieczność wprowadzenia dodatkowej regulacji w zakresie przyznawania bonifikat najemcom poszczególnych lokali wchodzących w skład nabytego majątku.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zastosowaniem prawa pierwszeństwa, za cenę zbliżoną do ceny nabycia tychże lokali przez gminę.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10284338-56C8-46F9-8AE2-87E7A1B15AD4.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10284338-56C8-46F9-8AE2-87E7A1B15AD4.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XLII/583/21 z dnia 26 kwietnia 2021 r.</dc:title>
  <dc:subject>w sprawie ustalenia wysokości stawek procentowych bonifikat przy sprzedaży przez Gminę Bytom lokali mieszkalnych</dc:subject>
  <dc:creator>masocha</dc:creator>
  <cp:lastModifiedBy>masocha</cp:lastModifiedBy>
  <cp:revision>1</cp:revision>
  <dcterms:created xsi:type="dcterms:W3CDTF">2021-04-27T10:07:30Z</dcterms:created>
  <dcterms:modified xsi:type="dcterms:W3CDTF">2021-04-27T10:07:30Z</dcterms:modified>
  <cp:category>Akt prawny</cp:category>
</cp:coreProperties>
</file>