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3C6D99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XV/124/25</w:t>
      </w:r>
      <w:r>
        <w:rPr>
          <w:b/>
          <w:caps/>
        </w:rPr>
        <w:br/>
        <w:t>Rady Miejskiej w Bytomiu</w:t>
      </w:r>
    </w:p>
    <w:p w:rsidR="00A77B3E" w:rsidRDefault="003C6D99">
      <w:pPr>
        <w:spacing w:before="280" w:after="280" w:line="276" w:lineRule="auto"/>
        <w:jc w:val="center"/>
        <w:rPr>
          <w:b/>
          <w:caps/>
        </w:rPr>
      </w:pPr>
      <w:r>
        <w:t>z dnia 24 marca 2025 r.</w:t>
      </w:r>
    </w:p>
    <w:p w:rsidR="00A77B3E" w:rsidRDefault="003C6D99">
      <w:pPr>
        <w:keepNext/>
        <w:spacing w:after="480" w:line="276" w:lineRule="auto"/>
        <w:jc w:val="center"/>
      </w:pPr>
      <w:r>
        <w:rPr>
          <w:b/>
        </w:rPr>
        <w:t>zmieniająca uchwałę nr XII/100/24 Rady Miejskiej w Bytomiu w sprawie wieloletniej prognozy finansowej miasta Bytomia na lata 2025-2046</w:t>
      </w:r>
    </w:p>
    <w:p w:rsidR="00A77B3E" w:rsidRDefault="003C6D99">
      <w:pPr>
        <w:keepLines/>
        <w:spacing w:before="120" w:after="120" w:line="276" w:lineRule="auto"/>
        <w:ind w:firstLine="227"/>
      </w:pPr>
      <w:r>
        <w:t>Na podstawie art. 18 ust. 2 pkt 15 ustawy z dnia 8</w:t>
      </w:r>
      <w:r>
        <w:t> marca 1990 r. o samorządzie gminnym (Dz. U. z 2024 r. poz. 1465, z późn. zm.), art. 12 pkt 11 w związku z art. 92 ustawy z dnia 5 czerwca 1998 r. o samorządzie powiatowym (Dz. U. z 2024 r. poz. 107, z późn. zm.) oraz art. 231 ust. 1 i 2 ustawy z dnia 27 s</w:t>
      </w:r>
      <w:r>
        <w:t>ierpnia 2009 r. o finansach publicznych (Dz. U. z 2024 r. poz. 1530, z późn. zm.) uchwala się, co następuje:</w:t>
      </w:r>
    </w:p>
    <w:p w:rsidR="00A77B3E" w:rsidRDefault="003C6D99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XII/100/24 Rady Miejskiej w Bytomiu z dnia 16 grudnia 2024 r. w sprawie wieloletniej prognozy finansowej miasta Bytomia na lata 2</w:t>
      </w:r>
      <w:r>
        <w:t>025-2046, w załączniku nr 2 pn. „Wykaz przedsięwzięć wieloletnich” dodaje się pozycje nr: 1.1.1.30, 1.1.1.31, 1.3.2.34 i 1.3.2.35, zmienia się pozycje nr: 1.1.1.1 - 1.1.1.4, 1.1.1.6, 1.1.1.9, 1.1.1.15, 1.1.1.23, 1.3.1.29, 1.3.1.33, 1.3.2.7, 1.3.2.8, 1.3.2.</w:t>
      </w:r>
      <w:r>
        <w:t>16, 1.3.2.22 oraz usuwa się pozycję nr 1.1.2.4 - w brzmieniu jak w załączniku do niniejszej uchwały.</w:t>
      </w:r>
    </w:p>
    <w:p w:rsidR="00A77B3E" w:rsidRDefault="003C6D99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3C6D99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3C6D99">
      <w:pPr>
        <w:keepNext/>
        <w:keepLines/>
        <w:spacing w:before="120" w:after="120" w:line="276" w:lineRule="auto"/>
        <w:ind w:firstLine="227"/>
      </w:pPr>
      <w:r>
        <w:t> </w:t>
      </w:r>
    </w:p>
    <w:p w:rsidR="00A77B3E" w:rsidRDefault="003C6D99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CC1F51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C1F51" w:rsidRDefault="00CC1F51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C1F51" w:rsidRDefault="003C6D99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</w:t>
            </w:r>
            <w:r>
              <w:rPr>
                <w:b/>
              </w:rPr>
              <w:t>ewski</w:t>
            </w:r>
          </w:p>
        </w:tc>
      </w:tr>
    </w:tbl>
    <w:p w:rsidR="00A77B3E" w:rsidRDefault="00A77B3E">
      <w:pPr>
        <w:keepNext/>
      </w:pPr>
    </w:p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1"/>
        <w:gridCol w:w="3128"/>
        <w:gridCol w:w="1500"/>
        <w:gridCol w:w="629"/>
        <w:gridCol w:w="629"/>
        <w:gridCol w:w="1185"/>
        <w:gridCol w:w="1092"/>
        <w:gridCol w:w="1092"/>
        <w:gridCol w:w="1092"/>
        <w:gridCol w:w="1092"/>
        <w:gridCol w:w="760"/>
        <w:gridCol w:w="760"/>
        <w:gridCol w:w="1194"/>
      </w:tblGrid>
      <w:tr w:rsidR="00CC1F51" w:rsidTr="003C6D99">
        <w:trPr>
          <w:trHeight w:val="292"/>
        </w:trPr>
        <w:tc>
          <w:tcPr>
            <w:tcW w:w="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do uchwały nr XV/124/25  Rady Miejskiej w Bytomiu z dnia 25 marca 2025 r.  stanowiący jednocześnie  załącznik nr 2 do uchwały nr XII/100/24 Rady Miejskiej w Bytomiu z dnia 16 grudnia 2024 r.              "</w:t>
            </w:r>
          </w:p>
        </w:tc>
      </w:tr>
      <w:tr w:rsidR="00CC1F51" w:rsidTr="003C6D99">
        <w:trPr>
          <w:trHeight w:val="284"/>
        </w:trPr>
        <w:tc>
          <w:tcPr>
            <w:tcW w:w="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</w:tr>
      <w:tr w:rsidR="00CC1F51" w:rsidTr="003C6D99">
        <w:trPr>
          <w:trHeight w:val="422"/>
        </w:trPr>
        <w:tc>
          <w:tcPr>
            <w:tcW w:w="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</w:tr>
      <w:tr w:rsidR="00CC1F51" w:rsidTr="003C6D99">
        <w:trPr>
          <w:trHeight w:val="192"/>
        </w:trPr>
        <w:tc>
          <w:tcPr>
            <w:tcW w:w="15014" w:type="dxa"/>
            <w:gridSpan w:val="1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WYKAZ  </w:t>
            </w:r>
            <w:r>
              <w:rPr>
                <w:b/>
                <w:color w:val="000000"/>
                <w:sz w:val="14"/>
              </w:rPr>
              <w:t>PRZEDSIĘWZIĘĆ WIELOLETNICH</w:t>
            </w:r>
          </w:p>
        </w:tc>
      </w:tr>
      <w:tr w:rsidR="00CC1F51" w:rsidTr="003C6D99">
        <w:trPr>
          <w:trHeight w:val="186"/>
        </w:trPr>
        <w:tc>
          <w:tcPr>
            <w:tcW w:w="861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</w:tr>
      <w:tr w:rsidR="00CC1F51" w:rsidTr="003C6D99">
        <w:trPr>
          <w:trHeight w:val="186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Lp</w:t>
            </w:r>
          </w:p>
        </w:tc>
        <w:tc>
          <w:tcPr>
            <w:tcW w:w="312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Nazwa i</w:t>
            </w:r>
            <w:r>
              <w:rPr>
                <w:b/>
                <w:color w:val="000000"/>
                <w:sz w:val="14"/>
              </w:rPr>
              <w:t xml:space="preserve"> cel</w:t>
            </w:r>
          </w:p>
        </w:tc>
        <w:tc>
          <w:tcPr>
            <w:tcW w:w="15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Jednostka odpowiedzialna lub koordynująca program</w:t>
            </w:r>
          </w:p>
        </w:tc>
        <w:tc>
          <w:tcPr>
            <w:tcW w:w="1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Okres realizacji programu</w:t>
            </w:r>
          </w:p>
        </w:tc>
        <w:tc>
          <w:tcPr>
            <w:tcW w:w="11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Łączne nakłady finansowe</w:t>
            </w:r>
          </w:p>
        </w:tc>
        <w:tc>
          <w:tcPr>
            <w:tcW w:w="588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19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Limit zobowiązań</w:t>
            </w:r>
          </w:p>
        </w:tc>
      </w:tr>
      <w:tr w:rsidR="00CC1F51" w:rsidTr="003C6D99">
        <w:trPr>
          <w:trHeight w:val="192"/>
        </w:trPr>
        <w:tc>
          <w:tcPr>
            <w:tcW w:w="8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12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5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od</w:t>
            </w: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</w:t>
            </w:r>
          </w:p>
        </w:tc>
        <w:tc>
          <w:tcPr>
            <w:tcW w:w="118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CC1F51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2025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2026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2027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2028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2029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2030</w:t>
            </w:r>
          </w:p>
        </w:tc>
        <w:tc>
          <w:tcPr>
            <w:tcW w:w="119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b/>
                <w:color w:val="000000"/>
                <w:sz w:val="14"/>
              </w:rPr>
            </w:pPr>
          </w:p>
        </w:tc>
      </w:tr>
      <w:tr w:rsidR="00CC1F51" w:rsidTr="003C6D99">
        <w:trPr>
          <w:trHeight w:val="112"/>
        </w:trPr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</w:t>
            </w: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</w:t>
            </w: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</w:t>
            </w: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11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</w:t>
            </w: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</w:t>
            </w:r>
          </w:p>
        </w:tc>
      </w:tr>
      <w:tr w:rsidR="00CC1F51" w:rsidTr="003C6D99">
        <w:trPr>
          <w:trHeight w:val="124"/>
        </w:trPr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</w:t>
            </w:r>
          </w:p>
        </w:tc>
        <w:tc>
          <w:tcPr>
            <w:tcW w:w="58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</w:t>
            </w:r>
            <w:r>
              <w:rPr>
                <w:b/>
                <w:color w:val="000000"/>
                <w:sz w:val="14"/>
              </w:rPr>
              <w:t>na przedsięwzięcia – ogółem (1.1+1.2+1.3), z tego:</w:t>
            </w: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143 698 582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16 261 422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11 776 631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12 179 421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12 528 986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38 804 280</w:t>
            </w:r>
          </w:p>
        </w:tc>
      </w:tr>
      <w:tr w:rsidR="00CC1F51" w:rsidTr="003C6D99">
        <w:trPr>
          <w:trHeight w:val="124"/>
        </w:trPr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1.a</w:t>
            </w:r>
          </w:p>
        </w:tc>
        <w:tc>
          <w:tcPr>
            <w:tcW w:w="58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bieżące</w:t>
            </w: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11 710 936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4 135 796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3 879 439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2 640 123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361 002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10 556 730</w:t>
            </w:r>
          </w:p>
        </w:tc>
      </w:tr>
      <w:tr w:rsidR="00CC1F51" w:rsidTr="003C6D99">
        <w:trPr>
          <w:trHeight w:val="124"/>
        </w:trPr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1.b</w:t>
            </w:r>
          </w:p>
        </w:tc>
        <w:tc>
          <w:tcPr>
            <w:tcW w:w="58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majątkowe</w:t>
            </w: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131 987 646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12 125 626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7 897 192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9 539 298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12 167 984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28 247 550</w:t>
            </w:r>
          </w:p>
        </w:tc>
      </w:tr>
      <w:tr w:rsidR="00CC1F51" w:rsidTr="003C6D99">
        <w:trPr>
          <w:trHeight w:val="124"/>
        </w:trPr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1.1</w:t>
            </w:r>
          </w:p>
        </w:tc>
        <w:tc>
          <w:tcPr>
            <w:tcW w:w="58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na programy, projekty lub zadania związane z programami realizowanymi  z udziałem środków, o których mowa w art. 5 ust.1 pkt 2 i 3 ustawy z dnia 27 sierpnia 2009 r. o finansach publicznych (Dz.U. </w:t>
            </w:r>
            <w:r>
              <w:rPr>
                <w:b/>
                <w:color w:val="000000"/>
                <w:sz w:val="14"/>
              </w:rPr>
              <w:t>z 2019 poz. 869, z późn. zm.), z tego:</w:t>
            </w: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11 223 436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3 982 000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3 740 769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2 501 453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361 002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10 556 730</w:t>
            </w:r>
          </w:p>
        </w:tc>
      </w:tr>
      <w:tr w:rsidR="00CC1F51" w:rsidTr="003C6D99">
        <w:trPr>
          <w:trHeight w:val="124"/>
        </w:trPr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1.1.1</w:t>
            </w:r>
          </w:p>
        </w:tc>
        <w:tc>
          <w:tcPr>
            <w:tcW w:w="58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bieżące</w:t>
            </w: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11 223 436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3 982 000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3 740 769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2 501 453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361 002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10 556 730</w:t>
            </w:r>
          </w:p>
        </w:tc>
      </w:tr>
      <w:tr w:rsidR="00CC1F51" w:rsidTr="003C6D99">
        <w:trPr>
          <w:trHeight w:val="118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1.1.1.1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Program LIFE "Śląskie. Przywracamy Błękit"</w:t>
            </w:r>
          </w:p>
        </w:tc>
        <w:tc>
          <w:tcPr>
            <w:tcW w:w="150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Urząd </w:t>
            </w:r>
            <w:r>
              <w:rPr>
                <w:color w:val="000000"/>
                <w:sz w:val="14"/>
              </w:rPr>
              <w:t>Miejski  w Bytomiu,  Wydział Inżynierii Środowiska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2022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2027</w:t>
            </w:r>
          </w:p>
        </w:tc>
        <w:tc>
          <w:tcPr>
            <w:tcW w:w="118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350 237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63 461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15 138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10 092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9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88 691</w:t>
            </w:r>
          </w:p>
        </w:tc>
      </w:tr>
      <w:tr w:rsidR="00CC1F51" w:rsidTr="003C6D99">
        <w:trPr>
          <w:trHeight w:val="434"/>
        </w:trPr>
        <w:tc>
          <w:tcPr>
            <w:tcW w:w="8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Kompleksowe działania na rzecz poprawy jakości powietrza na terenie województwa śląskiego umożliwiające efektywn</w:t>
            </w:r>
            <w:r>
              <w:rPr>
                <w:color w:val="000000"/>
                <w:sz w:val="14"/>
              </w:rPr>
              <w:t>e wdrożenie Programu ochrony powietrza dla województwa śląskiego</w:t>
            </w:r>
          </w:p>
        </w:tc>
        <w:tc>
          <w:tcPr>
            <w:tcW w:w="150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CC1F51" w:rsidTr="003C6D99">
        <w:trPr>
          <w:trHeight w:val="118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1.1.1.2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Climate-4-CAST</w:t>
            </w:r>
          </w:p>
        </w:tc>
        <w:tc>
          <w:tcPr>
            <w:tcW w:w="150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 w Bytomiu, Wydział Inżynierii Środowiska, Wydział Kadr, Płac i Szkoleń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8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907 940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482 763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276 072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758 835</w:t>
            </w:r>
          </w:p>
        </w:tc>
      </w:tr>
      <w:tr w:rsidR="00CC1F51" w:rsidTr="003C6D99">
        <w:trPr>
          <w:trHeight w:val="700"/>
        </w:trPr>
        <w:tc>
          <w:tcPr>
            <w:tcW w:w="8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Stworzenie nar</w:t>
            </w:r>
            <w:r>
              <w:rPr>
                <w:color w:val="000000"/>
                <w:sz w:val="14"/>
              </w:rPr>
              <w:t>zędzia informatycznego wraz z metodologią gromadzenia danych dotyczących emisji gazów, identyfikacji celów klimatycznych oraz sposobów monitorowania tych celów. Dodatkowo powstaną założenia dla służb budżetowych w zakresie stworzenia budżetu emisji gazów o</w:t>
            </w:r>
            <w:r>
              <w:rPr>
                <w:color w:val="000000"/>
                <w:sz w:val="14"/>
              </w:rPr>
              <w:t xml:space="preserve">raz budżetu klimatycznego, co przyspieszy postęp miast w kierunku neutralności klimatycznej  </w:t>
            </w:r>
          </w:p>
        </w:tc>
        <w:tc>
          <w:tcPr>
            <w:tcW w:w="150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</w:tr>
      <w:tr w:rsidR="00CC1F51" w:rsidTr="003C6D99">
        <w:trPr>
          <w:trHeight w:val="118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1.1.1.3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EKOsprawni - przyszłość zaczyna się w nas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</w:tr>
      <w:tr w:rsidR="00CC1F51" w:rsidTr="003C6D99">
        <w:trPr>
          <w:trHeight w:val="2204"/>
        </w:trPr>
        <w:tc>
          <w:tcPr>
            <w:tcW w:w="8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 Promowanie włączenia społecznego i różnorodności, zrównoważenia środowiskowego i edukacji cyfrowej poprzez podnoszenie świadomości wś</w:t>
            </w:r>
            <w:r>
              <w:rPr>
                <w:color w:val="000000"/>
                <w:sz w:val="14"/>
              </w:rPr>
              <w:t>ród uczestników projektu, aktywne uczestnictwo w sieci organizacji Erasmus, dzielenie się wiedzą oraz wybieranie najlepszych rozwiązań dla swoich działań. 2. Podniesienie kompetencji zawodowych nauczycieli w pracy z osobami o specjalnych potrzebach edukacy</w:t>
            </w:r>
            <w:r>
              <w:rPr>
                <w:color w:val="000000"/>
                <w:sz w:val="14"/>
              </w:rPr>
              <w:t>jnych. 3. Rozwinięcie potencjału europejskiego placówki poprzez międzynarodową współpracę. 4. Promocja placówki w środowisku lokalnym. 5. Rozwój kompetencji uczniów, motywowanie do społecznego włączenia się poprzez udział w mobilnościach, działaniach wirtu</w:t>
            </w:r>
            <w:r>
              <w:rPr>
                <w:color w:val="000000"/>
                <w:sz w:val="14"/>
              </w:rPr>
              <w:t xml:space="preserve">alnych i stacjonarnych. 6. Podniesienie świadomości ekologicznej wśród wszystkich uczestników projektu. 7. Zastosowanie innowacyjnych </w:t>
            </w:r>
            <w:r>
              <w:rPr>
                <w:color w:val="000000"/>
                <w:sz w:val="14"/>
              </w:rPr>
              <w:lastRenderedPageBreak/>
              <w:t xml:space="preserve">metod i narzędzi pracy z uczniem o specjalnych potrzebach edukacyjnych, zapewnienie kreatywnych i innowacyjnych rozwiązań </w:t>
            </w:r>
            <w:r>
              <w:rPr>
                <w:color w:val="000000"/>
                <w:sz w:val="14"/>
              </w:rPr>
              <w:t>dla szkoły.</w:t>
            </w:r>
          </w:p>
        </w:tc>
        <w:tc>
          <w:tcPr>
            <w:tcW w:w="1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Szkoła Podstawowa Specjalna  nr 40</w:t>
            </w:r>
          </w:p>
        </w:tc>
        <w:tc>
          <w:tcPr>
            <w:tcW w:w="6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2026</w:t>
            </w:r>
          </w:p>
        </w:tc>
        <w:tc>
          <w:tcPr>
            <w:tcW w:w="11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249 253</w:t>
            </w:r>
          </w:p>
        </w:tc>
        <w:tc>
          <w:tcPr>
            <w:tcW w:w="10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238 220</w:t>
            </w:r>
          </w:p>
        </w:tc>
        <w:tc>
          <w:tcPr>
            <w:tcW w:w="10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11 033</w:t>
            </w:r>
          </w:p>
        </w:tc>
        <w:tc>
          <w:tcPr>
            <w:tcW w:w="10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249 253</w:t>
            </w:r>
          </w:p>
        </w:tc>
      </w:tr>
      <w:tr w:rsidR="00CC1F51" w:rsidTr="003C6D99">
        <w:trPr>
          <w:trHeight w:val="236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1.1.1.4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Edukacja Szkolna w Akcji 1 - mobilność uczniów i kadry w edukacji szkolnej  </w:t>
            </w:r>
          </w:p>
        </w:tc>
        <w:tc>
          <w:tcPr>
            <w:tcW w:w="150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Branżowa Szkoła  I Stopnia nr 8 Specjalna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2025</w:t>
            </w:r>
          </w:p>
        </w:tc>
        <w:tc>
          <w:tcPr>
            <w:tcW w:w="118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78 254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30 907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30 907</w:t>
            </w:r>
          </w:p>
        </w:tc>
      </w:tr>
      <w:tr w:rsidR="00CC1F51" w:rsidTr="003C6D99">
        <w:trPr>
          <w:trHeight w:val="1406"/>
        </w:trPr>
        <w:tc>
          <w:tcPr>
            <w:tcW w:w="8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 Podniesienie kompetencji zawodowych nauczycieli w pracy z uczniami o specjalnych potrzebach edukacyjnych. 2. Zapobieganie wypaleniu zawodowemu, podniesienie kompetencji osobistych nauczycieli oraz umiejętności zapobieganiu</w:t>
            </w:r>
            <w:r>
              <w:rPr>
                <w:color w:val="000000"/>
                <w:sz w:val="14"/>
              </w:rPr>
              <w:t xml:space="preserve"> konfliktom. 3. Zwiększenie współpracy z rodzicami. 4. Rozwinięcie potencjału europejskiego szkoły poprzez współpracę międzynarodową i transfer dobrych praktyk. 5. Zmodernizowanie modelu zarządzania szkołą oraz promocja placówki w środowisku lokalnym. 6. R</w:t>
            </w:r>
            <w:r>
              <w:rPr>
                <w:color w:val="000000"/>
                <w:sz w:val="14"/>
              </w:rPr>
              <w:t>ozwój kompetencji uczniów, motywowanie do społecznego włączenia się poprzez udział w mobilnościach oraz w działaniach wirtualnych i stacjonarnych.</w:t>
            </w:r>
          </w:p>
        </w:tc>
        <w:tc>
          <w:tcPr>
            <w:tcW w:w="150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</w:tr>
      <w:tr w:rsidR="00CC1F51" w:rsidTr="003C6D99">
        <w:trPr>
          <w:trHeight w:val="236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1.1.1.6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Staże zawodowe w zagranicznych przedsiębiorstwach dla ucznió</w:t>
            </w:r>
            <w:r>
              <w:rPr>
                <w:color w:val="000000"/>
                <w:sz w:val="14"/>
              </w:rPr>
              <w:t>w ZST</w:t>
            </w:r>
          </w:p>
        </w:tc>
        <w:tc>
          <w:tcPr>
            <w:tcW w:w="150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Zespół Szkół Technicznych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2025</w:t>
            </w:r>
          </w:p>
        </w:tc>
        <w:tc>
          <w:tcPr>
            <w:tcW w:w="118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258 741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223 952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223 952</w:t>
            </w:r>
          </w:p>
        </w:tc>
      </w:tr>
      <w:tr w:rsidR="00CC1F51" w:rsidTr="003C6D99">
        <w:trPr>
          <w:trHeight w:val="354"/>
        </w:trPr>
        <w:tc>
          <w:tcPr>
            <w:tcW w:w="8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Podniesienie kompetencji zawodowych uczniów ze szczególnym zwróceniem uwagi na szkolenie zawodowe prowadzone w realnym środowisku pracy za granicą</w:t>
            </w:r>
          </w:p>
        </w:tc>
        <w:tc>
          <w:tcPr>
            <w:tcW w:w="150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</w:tr>
      <w:tr w:rsidR="00CC1F51" w:rsidTr="003C6D99">
        <w:trPr>
          <w:trHeight w:val="118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1.1.1.9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Centrum Wsparcia Rodziny - CW</w:t>
            </w:r>
            <w:r>
              <w:rPr>
                <w:color w:val="000000"/>
                <w:sz w:val="14"/>
              </w:rPr>
              <w:t>R I</w:t>
            </w:r>
          </w:p>
        </w:tc>
        <w:tc>
          <w:tcPr>
            <w:tcW w:w="150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Miejski Ośrodek Pomocy Rodzinie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2027</w:t>
            </w:r>
          </w:p>
        </w:tc>
        <w:tc>
          <w:tcPr>
            <w:tcW w:w="118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3 422 403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1 308 335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1 261 573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726 042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3 285 293</w:t>
            </w:r>
          </w:p>
        </w:tc>
      </w:tr>
      <w:tr w:rsidR="00CC1F51" w:rsidTr="003C6D99">
        <w:trPr>
          <w:trHeight w:val="484"/>
        </w:trPr>
        <w:tc>
          <w:tcPr>
            <w:tcW w:w="8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Rozwój, podniesienie jakości oraz dostępności usług wsparcia dla rodzin, w tym rodzin przeżywających trudności w wypełnianiu funkcji opiekuńczo-wychowawczych lub w kryzysie oraz dla dzieci powracających do rodzin</w:t>
            </w:r>
            <w:r>
              <w:rPr>
                <w:color w:val="000000"/>
                <w:sz w:val="14"/>
              </w:rPr>
              <w:t xml:space="preserve"> biologicznych</w:t>
            </w:r>
          </w:p>
        </w:tc>
        <w:tc>
          <w:tcPr>
            <w:tcW w:w="150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CC1F51" w:rsidTr="003C6D99">
        <w:trPr>
          <w:trHeight w:val="248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1.1.1.15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Razem do celu</w:t>
            </w:r>
          </w:p>
        </w:tc>
        <w:tc>
          <w:tcPr>
            <w:tcW w:w="150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Miejski Ośrodek Pomocy Rodzinie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2027</w:t>
            </w:r>
          </w:p>
        </w:tc>
        <w:tc>
          <w:tcPr>
            <w:tcW w:w="118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1 880 578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652 143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625 901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602 534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1 878 578</w:t>
            </w:r>
          </w:p>
        </w:tc>
      </w:tr>
      <w:tr w:rsidR="00CC1F51" w:rsidTr="003C6D99">
        <w:trPr>
          <w:trHeight w:val="266"/>
        </w:trPr>
        <w:tc>
          <w:tcPr>
            <w:tcW w:w="8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Aktywizacja społeczna i zawodowa uczestników projektu</w:t>
            </w:r>
          </w:p>
        </w:tc>
        <w:tc>
          <w:tcPr>
            <w:tcW w:w="150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CC1F51" w:rsidTr="003C6D99">
        <w:trPr>
          <w:trHeight w:val="236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1.1.1.23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"CRAB - Centrum Rozwoju Aktywności Bytomskiej" </w:t>
            </w:r>
          </w:p>
        </w:tc>
        <w:tc>
          <w:tcPr>
            <w:tcW w:w="150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Powiatowy Urząd Pracy w Bytomiu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2026</w:t>
            </w:r>
          </w:p>
        </w:tc>
        <w:tc>
          <w:tcPr>
            <w:tcW w:w="118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379 440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183 844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176 624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344 631</w:t>
            </w:r>
          </w:p>
        </w:tc>
      </w:tr>
      <w:tr w:rsidR="00CC1F51" w:rsidTr="003C6D99">
        <w:trPr>
          <w:trHeight w:val="340"/>
        </w:trPr>
        <w:tc>
          <w:tcPr>
            <w:tcW w:w="8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Podniesienie poziomu kompetencji i</w:t>
            </w:r>
            <w:r>
              <w:rPr>
                <w:color w:val="000000"/>
                <w:sz w:val="14"/>
              </w:rPr>
              <w:t xml:space="preserve"> umiejętności podstawowych, w tym cyfrowych wśród 64 osób bezrobotnych zarejestrowanych w PUP w Bytomiu o niskich umiejętnościach podstawowych lub kompetencjach podstawowych. Umiejętności </w:t>
            </w:r>
            <w:r>
              <w:rPr>
                <w:color w:val="000000"/>
                <w:sz w:val="14"/>
              </w:rPr>
              <w:lastRenderedPageBreak/>
              <w:t xml:space="preserve">te będą obejmować rozumienie i przetwarzanie informacji, rozumienia </w:t>
            </w:r>
            <w:r>
              <w:rPr>
                <w:color w:val="000000"/>
                <w:sz w:val="14"/>
              </w:rPr>
              <w:t>matematyczne, umiejętności cyfrowe oraz kompetencje społeczne na podstawie i z korzystaniem rekomendacji modeli przetestowanych w ramach projektu "Szansa-Nowe możliwości dla dorosłych" tj. modelu dla osób bezrobotnych - "Żyroskop-wielopoziomowy model wspar</w:t>
            </w:r>
            <w:r>
              <w:rPr>
                <w:color w:val="000000"/>
                <w:sz w:val="14"/>
              </w:rPr>
              <w:t>cia osób dorosłych"</w:t>
            </w:r>
          </w:p>
        </w:tc>
        <w:tc>
          <w:tcPr>
            <w:tcW w:w="150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CC1F51" w:rsidTr="003C6D99">
        <w:trPr>
          <w:trHeight w:val="216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1.1.1.30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Wspieramy i usamodzielniamy</w:t>
            </w:r>
          </w:p>
        </w:tc>
        <w:tc>
          <w:tcPr>
            <w:tcW w:w="150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Dom Pomocy Społecznej dla Dorosłych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2028</w:t>
            </w:r>
          </w:p>
        </w:tc>
        <w:tc>
          <w:tcPr>
            <w:tcW w:w="118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1 651 460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523 896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644 311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432 668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50 585</w:t>
            </w: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1 651 460</w:t>
            </w:r>
          </w:p>
        </w:tc>
      </w:tr>
      <w:tr w:rsidR="00CC1F51" w:rsidTr="003C6D99">
        <w:trPr>
          <w:trHeight w:val="490"/>
        </w:trPr>
        <w:tc>
          <w:tcPr>
            <w:tcW w:w="8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Wsparcie osób z niepełnosprawnościami poprzez objęcie procesem usamodzielniania 10 mieszkańców DPS oraz uruchomienie Centrum Wsparcia dla osób z zaburzeniami psychicznymi</w:t>
            </w:r>
          </w:p>
        </w:tc>
        <w:tc>
          <w:tcPr>
            <w:tcW w:w="150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</w:tr>
      <w:tr w:rsidR="00CC1F51" w:rsidTr="003C6D99">
        <w:trPr>
          <w:trHeight w:val="266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1.1.1.31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Centrum Wsparcia Rodzicielstwa Zastępczego - CWRZ I</w:t>
            </w:r>
          </w:p>
        </w:tc>
        <w:tc>
          <w:tcPr>
            <w:tcW w:w="150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Miejski Ośrodek Pomocy Rodzinie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2028</w:t>
            </w:r>
          </w:p>
        </w:tc>
        <w:tc>
          <w:tcPr>
            <w:tcW w:w="118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2 045 130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274 479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730 117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730 117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310 417</w:t>
            </w: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2 045 130</w:t>
            </w:r>
          </w:p>
        </w:tc>
      </w:tr>
      <w:tr w:rsidR="00CC1F51" w:rsidTr="003C6D99">
        <w:trPr>
          <w:trHeight w:val="396"/>
        </w:trPr>
        <w:tc>
          <w:tcPr>
            <w:tcW w:w="8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Rozwój, </w:t>
            </w:r>
            <w:r>
              <w:rPr>
                <w:color w:val="000000"/>
                <w:sz w:val="14"/>
              </w:rPr>
              <w:t>podniesienie jakości oraz dostępności usług wspierających rodzicielstwo zastępcze oraz dzieci przebywających w pieczy zastępczej</w:t>
            </w:r>
          </w:p>
        </w:tc>
        <w:tc>
          <w:tcPr>
            <w:tcW w:w="150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</w:tr>
      <w:tr w:rsidR="00CC1F51" w:rsidTr="003C6D99">
        <w:trPr>
          <w:trHeight w:val="124"/>
        </w:trPr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1.3</w:t>
            </w:r>
          </w:p>
        </w:tc>
        <w:tc>
          <w:tcPr>
            <w:tcW w:w="58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na programy, projekty lub zadania pozostałe (inne niż wymienione</w:t>
            </w:r>
            <w:r>
              <w:rPr>
                <w:b/>
                <w:color w:val="000000"/>
                <w:sz w:val="14"/>
              </w:rPr>
              <w:t xml:space="preserve"> w pkt 1.1 i 1.2),  z tego:</w:t>
            </w: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132 475 146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12 279 422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8 035 862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9 677 968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12 167 984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28 247 550</w:t>
            </w:r>
          </w:p>
        </w:tc>
      </w:tr>
      <w:tr w:rsidR="00CC1F51" w:rsidTr="003C6D99">
        <w:trPr>
          <w:trHeight w:val="124"/>
        </w:trPr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1.3.1</w:t>
            </w:r>
          </w:p>
        </w:tc>
        <w:tc>
          <w:tcPr>
            <w:tcW w:w="58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bieżące</w:t>
            </w: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487 500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153 796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138 670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138 670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CC1F51" w:rsidTr="003C6D99">
        <w:trPr>
          <w:trHeight w:val="236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1.3.1.29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Ekopracownia pod chmurką w Technikum nr 6 w ZST - Zielona Strefa</w:t>
            </w:r>
          </w:p>
        </w:tc>
        <w:tc>
          <w:tcPr>
            <w:tcW w:w="150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Zespół Szkół </w:t>
            </w:r>
            <w:r>
              <w:rPr>
                <w:color w:val="000000"/>
                <w:sz w:val="14"/>
              </w:rPr>
              <w:t>Technicznych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8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87 500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31 136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CC1F51" w:rsidTr="003C6D99">
        <w:trPr>
          <w:trHeight w:val="230"/>
        </w:trPr>
        <w:tc>
          <w:tcPr>
            <w:tcW w:w="86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Utworzenie na terenie placówki pracowni do prowadzenia zajęć na świeżym powietrzu z zakresu nauk przyrodniczych</w:t>
            </w:r>
          </w:p>
        </w:tc>
        <w:tc>
          <w:tcPr>
            <w:tcW w:w="150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</w:tr>
      <w:tr w:rsidR="00CC1F51" w:rsidTr="003C6D99">
        <w:trPr>
          <w:trHeight w:val="260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1.3.1.33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Prowadzenie parkingu miejskiego dla pojazdów usuniętych z drogi</w:t>
            </w:r>
          </w:p>
        </w:tc>
        <w:tc>
          <w:tcPr>
            <w:tcW w:w="15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w Bytomiu, Wydział Transportu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2027</w:t>
            </w:r>
          </w:p>
        </w:tc>
        <w:tc>
          <w:tcPr>
            <w:tcW w:w="118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400 000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122 660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138 670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138 670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CC1F51" w:rsidTr="003C6D99">
        <w:trPr>
          <w:trHeight w:val="272"/>
        </w:trPr>
        <w:tc>
          <w:tcPr>
            <w:tcW w:w="86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Dzierżawa terenu pod parking miejski  dla pojazdów usuniętych z drogi od spółki Tramwaje Śląskie S.A.</w:t>
            </w:r>
          </w:p>
        </w:tc>
        <w:tc>
          <w:tcPr>
            <w:tcW w:w="15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CC1F51" w:rsidTr="003C6D99">
        <w:trPr>
          <w:trHeight w:val="124"/>
        </w:trPr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1.3.2</w:t>
            </w:r>
          </w:p>
        </w:tc>
        <w:tc>
          <w:tcPr>
            <w:tcW w:w="58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majątkowe</w:t>
            </w: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131 987 646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12 125 626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7 897 192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9 539 298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12 167 984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28 247 550</w:t>
            </w:r>
          </w:p>
        </w:tc>
      </w:tr>
      <w:tr w:rsidR="00CC1F51" w:rsidTr="003C6D99">
        <w:trPr>
          <w:trHeight w:val="260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1.3.2.7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Budowa chodnika wzdłuż ul. Żołnierskiej wraz z budową chodnika wzdłuż ul. </w:t>
            </w:r>
            <w:r>
              <w:rPr>
                <w:color w:val="000000"/>
                <w:sz w:val="14"/>
              </w:rPr>
              <w:t>Gombrowicza</w:t>
            </w:r>
          </w:p>
        </w:tc>
        <w:tc>
          <w:tcPr>
            <w:tcW w:w="15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2022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8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271 139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171 173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55 301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9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24 550</w:t>
            </w:r>
          </w:p>
        </w:tc>
      </w:tr>
      <w:tr w:rsidR="00CC1F51" w:rsidTr="003C6D99">
        <w:trPr>
          <w:trHeight w:val="236"/>
        </w:trPr>
        <w:tc>
          <w:tcPr>
            <w:tcW w:w="86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bezpieczeństwa oraz usprawnienie ruchu kołowego i pieszego</w:t>
            </w:r>
          </w:p>
        </w:tc>
        <w:tc>
          <w:tcPr>
            <w:tcW w:w="15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CC1F51" w:rsidTr="003C6D99">
        <w:trPr>
          <w:trHeight w:val="254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1.3.2.8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Remont i adaptacja obiektów przy ul. Worpie 18  i ul. Stolarzowickiej 19  (Polski Ład Edycja 2)</w:t>
            </w:r>
          </w:p>
        </w:tc>
        <w:tc>
          <w:tcPr>
            <w:tcW w:w="150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 w Bytomiu, Wydział Realizacji Inwestycji i Remontów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8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3 36</w:t>
            </w:r>
            <w:r>
              <w:rPr>
                <w:color w:val="000000"/>
                <w:sz w:val="14"/>
              </w:rPr>
              <w:t>4 926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2 885 926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9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CC1F51" w:rsidTr="003C6D99">
        <w:trPr>
          <w:trHeight w:val="496"/>
        </w:trPr>
        <w:tc>
          <w:tcPr>
            <w:tcW w:w="86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Poprawa efektywności energetycznej budynku zaplecza stadionu sportowego przy ul. Worpie 18 w Bytomiu. Modernizacja i adaptacja budynków przy ul. Stolarzowickiej 19 w Bytomiu do celów edukacyjno-kulturalno-muzealnych. </w:t>
            </w:r>
          </w:p>
        </w:tc>
        <w:tc>
          <w:tcPr>
            <w:tcW w:w="150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</w:tr>
      <w:tr w:rsidR="00CC1F51" w:rsidTr="003C6D99">
        <w:trPr>
          <w:trHeight w:val="260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1.3.2.16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Mobilna Metropolia - Budowa Centrów Przesiadkowych na terenie gminy Bytom</w:t>
            </w:r>
          </w:p>
        </w:tc>
        <w:tc>
          <w:tcPr>
            <w:tcW w:w="15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2028</w:t>
            </w:r>
          </w:p>
        </w:tc>
        <w:tc>
          <w:tcPr>
            <w:tcW w:w="118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69 208 651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554 179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5 267 379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9 539 298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12 167 984</w:t>
            </w: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27 528 84</w:t>
            </w:r>
            <w:r>
              <w:rPr>
                <w:color w:val="000000"/>
                <w:sz w:val="14"/>
              </w:rPr>
              <w:t>0</w:t>
            </w:r>
          </w:p>
        </w:tc>
      </w:tr>
      <w:tr w:rsidR="00CC1F51" w:rsidTr="003C6D99">
        <w:trPr>
          <w:trHeight w:val="260"/>
        </w:trPr>
        <w:tc>
          <w:tcPr>
            <w:tcW w:w="86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bezpieczeństwa oraz usprawnienie ruchu kołowego i pieszego</w:t>
            </w:r>
          </w:p>
        </w:tc>
        <w:tc>
          <w:tcPr>
            <w:tcW w:w="15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</w:tr>
      <w:tr w:rsidR="00CC1F51" w:rsidTr="003C6D99">
        <w:trPr>
          <w:trHeight w:val="186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1.3.2.22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Budowa drogi na ulicy Wiejskiej – etap I (Polski Ład Edycja 8) </w:t>
            </w:r>
          </w:p>
        </w:tc>
        <w:tc>
          <w:tcPr>
            <w:tcW w:w="15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2020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8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11 143 050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7 874 348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2 574 512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9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54 160</w:t>
            </w:r>
          </w:p>
        </w:tc>
      </w:tr>
      <w:tr w:rsidR="00CC1F51" w:rsidTr="003C6D99">
        <w:trPr>
          <w:trHeight w:val="222"/>
        </w:trPr>
        <w:tc>
          <w:tcPr>
            <w:tcW w:w="86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Poprawa bezpieczeństwa oraz usprawnienie </w:t>
            </w:r>
            <w:r>
              <w:rPr>
                <w:color w:val="000000"/>
                <w:sz w:val="14"/>
              </w:rPr>
              <w:lastRenderedPageBreak/>
              <w:t>ruchu kołowego</w:t>
            </w:r>
          </w:p>
        </w:tc>
        <w:tc>
          <w:tcPr>
            <w:tcW w:w="15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right"/>
              <w:rPr>
                <w:color w:val="000000"/>
                <w:sz w:val="14"/>
              </w:rPr>
            </w:pPr>
          </w:p>
        </w:tc>
      </w:tr>
      <w:tr w:rsidR="00CC1F51" w:rsidTr="003C6D99">
        <w:trPr>
          <w:trHeight w:val="266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1.3.2.34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Bytomska Centralna Trasa Północ-Południe BCT N-S jako nowy ciąg drogi wojewódzkiej</w:t>
            </w:r>
          </w:p>
        </w:tc>
        <w:tc>
          <w:tcPr>
            <w:tcW w:w="15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2008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8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47 799 880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440 000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119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440 000</w:t>
            </w:r>
          </w:p>
        </w:tc>
      </w:tr>
      <w:tr w:rsidR="00CC1F51" w:rsidTr="003C6D99">
        <w:trPr>
          <w:trHeight w:val="378"/>
        </w:trPr>
        <w:tc>
          <w:tcPr>
            <w:tcW w:w="86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Usprawnienie ruchu kołowego poprzez budowę obwodnicy w osi północ-południe, odciążenie natężenia ruchu w kierunku południowych dzielnic i sąsiednich miast</w:t>
            </w:r>
          </w:p>
        </w:tc>
        <w:tc>
          <w:tcPr>
            <w:tcW w:w="15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CC1F51" w:rsidRDefault="00CC1F51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CC1F51" w:rsidTr="003C6D99">
        <w:trPr>
          <w:trHeight w:val="242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1.3.2.35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Adaptacja części budynku przy ul. Armii Krajowej 54B  z przeznaczeniem na lokale mieszkalne</w:t>
            </w:r>
          </w:p>
        </w:tc>
        <w:tc>
          <w:tcPr>
            <w:tcW w:w="15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Bytomskie Mieszkania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8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200 000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200 000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7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119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200 000</w:t>
            </w:r>
          </w:p>
        </w:tc>
      </w:tr>
      <w:tr w:rsidR="00CC1F51" w:rsidTr="003C6D99">
        <w:trPr>
          <w:trHeight w:val="490"/>
        </w:trPr>
        <w:tc>
          <w:tcPr>
            <w:tcW w:w="86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CC1F51" w:rsidRDefault="003C6D9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Wykonanie dokumentacji projektowej w zakresie zwiększenia zasobu mieszkaniowego Gminy Bytom w związku z adptacją części budynku przy ul. Armii Krajowej 54B z przeznaczeniem na lokale m</w:t>
            </w:r>
            <w:r>
              <w:rPr>
                <w:color w:val="000000"/>
                <w:sz w:val="14"/>
              </w:rPr>
              <w:t>ieszkalne</w:t>
            </w:r>
          </w:p>
        </w:tc>
        <w:tc>
          <w:tcPr>
            <w:tcW w:w="15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8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rPr>
                <w:color w:val="000000"/>
                <w:sz w:val="14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CC1F51" w:rsidRDefault="00CC1F51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</w:tbl>
    <w:p w:rsidR="00CC1F51" w:rsidRDefault="00CC1F51">
      <w:pPr>
        <w:sectPr w:rsidR="00CC1F51">
          <w:footerReference w:type="default" r:id="rId7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p w:rsidR="00CC1F51" w:rsidRDefault="00CC1F51">
      <w:pPr>
        <w:rPr>
          <w:rFonts w:eastAsia="Times New Roman" w:cs="Times New Roman"/>
          <w:szCs w:val="20"/>
        </w:rPr>
      </w:pPr>
    </w:p>
    <w:p w:rsidR="00CC1F51" w:rsidRDefault="003C6D99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CC1F51" w:rsidRDefault="003C6D99">
      <w:pPr>
        <w:spacing w:before="120" w:after="120" w:line="276" w:lineRule="auto"/>
        <w:ind w:firstLine="227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</w:t>
      </w:r>
      <w:r>
        <w:rPr>
          <w:rFonts w:eastAsia="Times New Roman" w:cs="Times New Roman"/>
          <w:szCs w:val="20"/>
        </w:rPr>
        <w:t>uchwale nr XII/100/24 Rady Miejskiej w Bytomiu z dnia 16 grudnia 2024 r. w sprawie wieloletniej prognozy finansowej miasta Bytomia na lata 2025-2046, w załączniku nr 2 pn. „Wykaz przedsięwzięć wieloletnich” dokonuje się następujących zmian: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- dodaje się </w:t>
      </w:r>
      <w:r>
        <w:rPr>
          <w:rFonts w:eastAsia="Times New Roman" w:cs="Times New Roman"/>
          <w:szCs w:val="20"/>
        </w:rPr>
        <w:t xml:space="preserve">pozycję nr 1.1.1.30 pn. „Wspieramy i usamodzielniamy" w związku z zawarciem umowy o dofinansowanie projektu w ramach Programu Fundusze Europejskie dla Śląskiego 2021-2027. Łączne nakłady finansowe zadania planowanego do realizacji w Domu Pomocy Społecznej </w:t>
      </w:r>
      <w:r>
        <w:rPr>
          <w:rFonts w:eastAsia="Times New Roman" w:cs="Times New Roman"/>
          <w:szCs w:val="20"/>
        </w:rPr>
        <w:t>dla Dorosłych w latach 2025-2028 szacuje się w kwocie 1.651.460 zł, w tym wkład własny miasta w wysokości 82.573 zł, środki Europejskiego Funduszu Społecznego Plus w kwocie 1.403.741 zł oraz budżetu państwa w kwocie 165.146 zł. Planowane na rok bieżący nak</w:t>
      </w:r>
      <w:r>
        <w:rPr>
          <w:rFonts w:eastAsia="Times New Roman" w:cs="Times New Roman"/>
          <w:szCs w:val="20"/>
        </w:rPr>
        <w:t>łady finansowe wyniosą 523.896 zł. Celem projektu jest wsparcie osób z niepełnosprawnościami poprzez objęcie procesem usamodzielniania mieszkańców Domu;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dodaje się pozycję nr 1.1.1.31 pn. „Centrum Wsparcia Rodzicielstwa Zastępczego - CWRZ I" w związku z </w:t>
      </w:r>
      <w:r>
        <w:rPr>
          <w:rFonts w:eastAsia="Times New Roman" w:cs="Times New Roman"/>
          <w:szCs w:val="20"/>
        </w:rPr>
        <w:t>wyborem do dofinansowania projektu w ramach programu Fundusze Europejskie dla Śląskiego 2021-2027. Łączne nakłady finansowe zadania planowanego do realizacji w latach 2025-2028 w Miejskim Ośrodku Pomocy Rodzinie szacuje się w wysokości 2.045.130 zł, z tego</w:t>
      </w:r>
      <w:r>
        <w:rPr>
          <w:rFonts w:eastAsia="Times New Roman" w:cs="Times New Roman"/>
          <w:szCs w:val="20"/>
        </w:rPr>
        <w:t xml:space="preserve"> środki Europejskiego Funduszu Społecznego w kwocie 1.738.360 zł, środki budżetu państwa 204.513 zł oraz wkład własny miasta w wysokości 102.257 zł. Celem zadania jest rozwój, podniesienie jakości oraz dostępności usług wspierających rodzicielstwo zastępcz</w:t>
      </w:r>
      <w:r>
        <w:rPr>
          <w:rFonts w:eastAsia="Times New Roman" w:cs="Times New Roman"/>
          <w:szCs w:val="20"/>
        </w:rPr>
        <w:t>e oraz dzieci przebywających w pieczy zastępczej;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dodaje się pozycję nr 1.3.2.35 pn. "Adaptacja części budynku przy ul. Armii Krajowej 54B z przeznaczeniem na lokale mieszkalne”. W ramach realizacji zadania planuje się przeprowadzenie prac modernizacyjny</w:t>
      </w:r>
      <w:r>
        <w:rPr>
          <w:rFonts w:eastAsia="Times New Roman" w:cs="Times New Roman"/>
          <w:szCs w:val="20"/>
        </w:rPr>
        <w:t>ch w budynku przy ul. Armii Krajowej 54B celem utworzenia lokali mieszkalnych. Pierwotnie zakładano adaptację budynku na potrzeby Ośrodka Interwencji Kryzysowej przy udziale środków Szwajcarsko-Polskiego Programu Rozwoju Miast. Z uwagi na długotrwałe proce</w:t>
      </w:r>
      <w:r>
        <w:rPr>
          <w:rFonts w:eastAsia="Times New Roman" w:cs="Times New Roman"/>
          <w:szCs w:val="20"/>
        </w:rPr>
        <w:t>dury pozyskania dofinansowania zmienia się zakres rzeczowy przedsięwzięcia. Wkład własny w kwocie 200.000 zł zostanie przeznaczony na wykonanie dokumentacji projektowej;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zmienia się pozycję nr 1.3.1.33 pn. "Prowadzenie parkingu miejskiego dla pojazdów us</w:t>
      </w:r>
      <w:r>
        <w:rPr>
          <w:rFonts w:eastAsia="Times New Roman" w:cs="Times New Roman"/>
          <w:szCs w:val="20"/>
        </w:rPr>
        <w:t>uniętych z drogi". W celu dostosowania planowanych na lata 2025-2027 nakładów do kwot umożliwiających realizację umowy zawartej w Wydziale Transportu zwiększa się plan w bieżącym roku o kwotę 2.660 zł, jednocześnie zmniejszając plan 2026 i 2027 roku o 1.33</w:t>
      </w:r>
      <w:r>
        <w:rPr>
          <w:rFonts w:eastAsia="Times New Roman" w:cs="Times New Roman"/>
          <w:szCs w:val="20"/>
        </w:rPr>
        <w:t>0 zł w każdym roku;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zmienia się pozycję nr 1.3.2.8 pn. "Remont i adaptacja obiektów przy ul. Worpie 18 i ul. Stolarzowickiej 19 (Polski Ład Edycja 2)". W związku z koniecznością dostosowania planu finansowego do montażu wynikającego z udzielonej promesy,</w:t>
      </w:r>
      <w:r>
        <w:rPr>
          <w:rFonts w:eastAsia="Times New Roman" w:cs="Times New Roman"/>
          <w:szCs w:val="20"/>
        </w:rPr>
        <w:t xml:space="preserve"> celem zawarcia umów z wieloma wykonawcami, zwiększa się łączne i planowane na 2025 rok nakłady finansowe zadania ze środków Rządowego Funduszu Polski Ład Edycja 2 o kwotę 1 zł;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- usuwa się pozycję nr 1.1.2.4 pn. "Adaptacja części budynku przy ul. Armii Kr</w:t>
      </w:r>
      <w:r>
        <w:rPr>
          <w:rFonts w:eastAsia="Times New Roman" w:cs="Times New Roman"/>
          <w:szCs w:val="20"/>
        </w:rPr>
        <w:t>ajowej 54B na potrzeby Ośrodka Interwencji Kryzysowej z hostelem i lokali z przeznaczeniem na najem socjalny" w związku ze zmianą zakresu rzeczowego zadania planowanego do realizacji w Bytomskich Mieszkaniach i wprowadzeniem nowego przedsięwzięcia w pozycj</w:t>
      </w:r>
      <w:r>
        <w:rPr>
          <w:rFonts w:eastAsia="Times New Roman" w:cs="Times New Roman"/>
          <w:szCs w:val="20"/>
        </w:rPr>
        <w:t>i 1.3.2.35.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zakresie zadań realizowanych w Miejskim Zarządzie Dróg i Mostów dokonuje się zmian w następujących pozycjach: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- zmienia się pozycję nr 1.3.2.7 pn. "Budowa chodnika wzdłuż ul. Żołnierskiej wraz z budową chodnika wzdłuż ul. Gombrowicza". </w:t>
      </w:r>
      <w:r>
        <w:rPr>
          <w:rFonts w:eastAsia="Times New Roman" w:cs="Times New Roman"/>
          <w:szCs w:val="20"/>
        </w:rPr>
        <w:t>W związku z koniecznością wydłużenia terminu realizacji inwestycji do 2026 roku, planowane na 2025 rok nakłady finansowe zadania zmniejsza się o kwotę 49.643 zł, jednocześnie zwiększając o tę kwotę nakłady 2026 roku;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 - zmienia się pozycję nr 1.3.2.16 pn. </w:t>
      </w:r>
      <w:r>
        <w:rPr>
          <w:rFonts w:eastAsia="Times New Roman" w:cs="Times New Roman"/>
          <w:szCs w:val="20"/>
        </w:rPr>
        <w:t>"Mobilna Metropolia - Budowa Centrów Przesiadkowych na terenie gminy Bytom" w związku z przyznaniem dofinansowania na realizację inwestycji pn. "Budowa centrum przesiadkowego na terenie Gminy Bytom - Stroszek" ze środków Funduszy Europejskich dla Śląskiego</w:t>
      </w:r>
      <w:r>
        <w:rPr>
          <w:rFonts w:eastAsia="Times New Roman" w:cs="Times New Roman"/>
          <w:szCs w:val="20"/>
        </w:rPr>
        <w:t xml:space="preserve"> 2021-2027 w ramach Działania Zrównoważona multimodalna mobilność miejska, zwiększa się o kwotę 7.043.283 zł nakłady finansowe zadania. Jednocześnie celem podpisania umowy o dofinansowanie projektu zachodzi konieczność zwiększenia wysokości wkładu własnego</w:t>
      </w:r>
      <w:r>
        <w:rPr>
          <w:rFonts w:eastAsia="Times New Roman" w:cs="Times New Roman"/>
          <w:szCs w:val="20"/>
        </w:rPr>
        <w:t xml:space="preserve"> łącznie o kwotę 2.012.933 zł w latach 2026-2028;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zmienia się pozycję nr 1.3.2.22 pn. "Budowa drogi na ulicy Wiejskiej – etap I (Polski Ład Edycja 8)". W związku z koniecznością ogłoszenia postępowania w zakresie nadzorów autorskich zwiększa się łączne n</w:t>
      </w:r>
      <w:r>
        <w:rPr>
          <w:rFonts w:eastAsia="Times New Roman" w:cs="Times New Roman"/>
          <w:szCs w:val="20"/>
        </w:rPr>
        <w:t>akłady finansowe zadania w ramach wkładu własnego miasta o kwotę 52.500 zł, w tym planowane na 2025 rok o kwotę 26.250 zł;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- dodaje się pozycję nr 1.3.2.34 pn. "Bytomska Centralna Trasa Północ-Południe BCT N-S jako nowy ciąg drogi wojewódzkiej”. W związku </w:t>
      </w:r>
      <w:r>
        <w:rPr>
          <w:rFonts w:eastAsia="Times New Roman" w:cs="Times New Roman"/>
          <w:szCs w:val="20"/>
        </w:rPr>
        <w:t>z koniecznością wypłaty odszkodowań objętych decyzjami o zezwoleniu na realizację inwestycji drogowej (ZRID) przywraca się zadanie w wieloletniej prognozie finansowej miasta i wprowadza się na 2025 rok nakłady finansowe w kwocie 440.000 zł;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Jednocześnie w</w:t>
      </w:r>
      <w:r>
        <w:rPr>
          <w:rFonts w:eastAsia="Times New Roman" w:cs="Times New Roman"/>
          <w:szCs w:val="20"/>
        </w:rPr>
        <w:t> uchwale w celu aktualizacji harmonogramów finansowo-rzeczowych, zgodnie z zawartymi umowami, przenosi się niewykorzystane środki finansowe z roku 2024 do roku 2025 w następujących zadaniach: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Wydziale Inżynierii Środowiska w pozycjach: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nr 1.1.1.1 pn. "</w:t>
      </w:r>
      <w:r>
        <w:rPr>
          <w:rFonts w:eastAsia="Times New Roman" w:cs="Times New Roman"/>
          <w:szCs w:val="20"/>
        </w:rPr>
        <w:t>Program LIFE "Śląskie. Przywracamy Błękit"" w wysokości 25.871 zł, z tego wkład własny miasta w kwocie 1.328 zł oraz środki Unii Europejskiej w ramach realizowanego Programu ochrony powietrza dla województwa śląskiego w kwocie 24.543 zł;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nr 1.1.1.2 pn. "</w:t>
      </w:r>
      <w:r>
        <w:rPr>
          <w:rFonts w:eastAsia="Times New Roman" w:cs="Times New Roman"/>
          <w:szCs w:val="20"/>
        </w:rPr>
        <w:t>Climate-4-CAST" w wysokości 187.909 zł, z tego wkład własny miasta w kwocie 37.582 zł oraz środki unijne w ramach realizowanego Programu Interreg Region Morza Bałtyckiego w wysokości 150.327 zł.</w:t>
      </w:r>
    </w:p>
    <w:p w:rsidR="00CC1F51" w:rsidRDefault="003C6D99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 w pozycjach: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- nr 1.1.1.3 pn. "EKOsprawni - przyszłoś</w:t>
      </w:r>
      <w:r>
        <w:rPr>
          <w:rFonts w:eastAsia="Times New Roman" w:cs="Times New Roman"/>
          <w:szCs w:val="20"/>
        </w:rPr>
        <w:t>ć zaczyna się w nas" w wysokości 68.220 zł ze środków Narodowej Agencji programu Erasmus+ w Szkole Podstawowej Specjalnej nr 40;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- nr 1.1.1.4 pn. "Edukacja Szkolna w Akcji 1 - mobilność uczniów i kadry w edukacji szkolnej" w wysokości 26.355 zł ze środków </w:t>
      </w:r>
      <w:r>
        <w:rPr>
          <w:rFonts w:eastAsia="Times New Roman" w:cs="Times New Roman"/>
          <w:szCs w:val="20"/>
        </w:rPr>
        <w:t>Narodowej Agencji programu Erasmus+ w Branżowej Szkole I Stopnia nr 8 Specjalnej;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nr 1.1.1.6 pn. "Staże zawodowe w zagranicznych przedsiębiorstwach dla uczniów ZST" w wysokości 2.677 zł ze środków Narodowej Agencji programu Erasmus+ w Zespole Szkół Techn</w:t>
      </w:r>
      <w:r>
        <w:rPr>
          <w:rFonts w:eastAsia="Times New Roman" w:cs="Times New Roman"/>
          <w:szCs w:val="20"/>
        </w:rPr>
        <w:t>icznych. Jednocześnie aktualizuje się kwotę łącznych nakładów finansowych projektu do wysokości poniesionych nakładów finansowych;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nr 1.3.1.29 pn. "Ekopracownia pod chmurką w Technikum nr 6 w ZST - Zielona Strefa" w wysokości 959 zł ze środków Wojewódzki</w:t>
      </w:r>
      <w:r>
        <w:rPr>
          <w:rFonts w:eastAsia="Times New Roman" w:cs="Times New Roman"/>
          <w:szCs w:val="20"/>
        </w:rPr>
        <w:t>ego Funduszu Ochrony Środowiska i Gospodarki Wodnej w Katowicach w Zespole Szkół Technicznych,</w:t>
      </w:r>
    </w:p>
    <w:p w:rsidR="00CC1F51" w:rsidRDefault="003C6D99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Miejskim Ośrodku Pomocy Rodzinie w pozycjach: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nr 1.1.1.9 pn. "Centrum Wsparcia Rodziny - CWR I" w wysokości 88.550 zł, z tego wkład własny miasta w kwocie 99</w:t>
      </w:r>
      <w:r>
        <w:rPr>
          <w:rFonts w:eastAsia="Times New Roman" w:cs="Times New Roman"/>
          <w:szCs w:val="20"/>
        </w:rPr>
        <w:t> zł, środki Funduszy Europejskich dla Śląskiego 2021-2027 w wysokości 79.140 zł oraz budżetu państwa w kwocie 9.311 zł;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nr 1.1.1.15 pn. "Razem do celu" w wysokości 4.334 zł, z tego środki Funduszy Europejskich dla Śląskiego 2021-2027 w wysokości 3.877 zł</w:t>
      </w:r>
      <w:r>
        <w:rPr>
          <w:rFonts w:eastAsia="Times New Roman" w:cs="Times New Roman"/>
          <w:szCs w:val="20"/>
        </w:rPr>
        <w:t xml:space="preserve"> oraz budżetu państwa w kwocie 457 zł.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 Ponadto, w uchwale aktualizuje się wartość limitu zobowiązań (kolumna 13 załącznika do uchwały nr XII/100/24 Rady Miejskiej w Bytomiu z dnia 16 grudnia 2024 r.) w związku z zawartymi umowami w ramach przedsięwzięcia </w:t>
      </w:r>
      <w:r>
        <w:rPr>
          <w:rFonts w:eastAsia="Times New Roman" w:cs="Times New Roman"/>
          <w:szCs w:val="20"/>
        </w:rPr>
        <w:t>ujętego w pozycji nr 1.1.1.23 pn. "CRAB - Centrum Rozwoju Aktywności Bytomskiej" realizowanego w Powiatowym Urzędzie Pracy.</w:t>
      </w:r>
    </w:p>
    <w:p w:rsidR="00CC1F51" w:rsidRDefault="003C6D9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planu przychodów, dochodów i wydatków budżetu miasta na 2025 rok wynikające z § 1 niniejszej uchwały dokonane zostaną w trybi</w:t>
      </w:r>
      <w:r>
        <w:rPr>
          <w:rFonts w:eastAsia="Times New Roman" w:cs="Times New Roman"/>
          <w:szCs w:val="20"/>
        </w:rPr>
        <w:t>e odrębnej uchwały rady miejskiej oraz zarządzeń prezydenta, zgodnie z kompetencjami.</w:t>
      </w:r>
    </w:p>
    <w:sectPr w:rsidR="00CC1F51" w:rsidSect="00CC1F51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F51" w:rsidRDefault="00CC1F51" w:rsidP="00CC1F51">
      <w:r>
        <w:separator/>
      </w:r>
    </w:p>
  </w:endnote>
  <w:endnote w:type="continuationSeparator" w:id="0">
    <w:p w:rsidR="00CC1F51" w:rsidRDefault="00CC1F51" w:rsidP="00CC1F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CC1F5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CC1F51" w:rsidRDefault="003C6D99">
          <w:pPr>
            <w:rPr>
              <w:sz w:val="18"/>
            </w:rPr>
          </w:pPr>
          <w:r>
            <w:rPr>
              <w:sz w:val="18"/>
            </w:rPr>
            <w:t>Id: B2BD7A0B-A191-4DD7-942A-E2E611CBF224.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CC1F51" w:rsidRDefault="003C6D9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C1F5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CC1F51">
            <w:rPr>
              <w:sz w:val="18"/>
            </w:rPr>
            <w:fldChar w:fldCharType="end"/>
          </w:r>
        </w:p>
      </w:tc>
    </w:tr>
  </w:tbl>
  <w:p w:rsidR="00CC1F51" w:rsidRDefault="00CC1F51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5"/>
      <w:gridCol w:w="4933"/>
    </w:tblGrid>
    <w:tr w:rsidR="00CC1F51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CC1F51" w:rsidRDefault="003C6D99">
          <w:pPr>
            <w:rPr>
              <w:sz w:val="18"/>
            </w:rPr>
          </w:pPr>
          <w:r>
            <w:rPr>
              <w:sz w:val="18"/>
            </w:rPr>
            <w:t>Id: B2BD7A0B-A191-4DD7-942A-E2E611CBF224.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CC1F51" w:rsidRDefault="003C6D9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C1F5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CC1F51">
            <w:rPr>
              <w:sz w:val="18"/>
            </w:rPr>
            <w:fldChar w:fldCharType="end"/>
          </w:r>
        </w:p>
      </w:tc>
    </w:tr>
  </w:tbl>
  <w:p w:rsidR="00CC1F51" w:rsidRDefault="00CC1F51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CC1F51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CC1F51" w:rsidRDefault="003C6D99">
          <w:pPr>
            <w:rPr>
              <w:sz w:val="18"/>
            </w:rPr>
          </w:pPr>
          <w:r>
            <w:rPr>
              <w:sz w:val="18"/>
            </w:rPr>
            <w:t>Id: B2BD7A0B-A191-4DD7-942A-E2E611CBF224.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CC1F51" w:rsidRDefault="003C6D9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C1F5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8</w:t>
          </w:r>
          <w:r w:rsidR="00CC1F51">
            <w:rPr>
              <w:sz w:val="18"/>
            </w:rPr>
            <w:fldChar w:fldCharType="end"/>
          </w:r>
        </w:p>
      </w:tc>
    </w:tr>
  </w:tbl>
  <w:p w:rsidR="00CC1F51" w:rsidRDefault="00CC1F51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F51" w:rsidRDefault="00CC1F51" w:rsidP="00CC1F51">
      <w:r>
        <w:separator/>
      </w:r>
    </w:p>
  </w:footnote>
  <w:footnote w:type="continuationSeparator" w:id="0">
    <w:p w:rsidR="00CC1F51" w:rsidRDefault="00CC1F51" w:rsidP="00CC1F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C6D99"/>
    <w:rsid w:val="00A77B3E"/>
    <w:rsid w:val="00CA2A55"/>
    <w:rsid w:val="00CC1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C1F51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2646</Words>
  <Characters>15402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18012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XV/124/25 z dnia 24 marca 2025 r.</dc:title>
  <dc:subject>zmieniająca uchwałę nr XII/100/24 Rady Miejskiej w^Bytomiu w^sprawie wieloletniej prognozy finansowej miasta Bytomia na lata 2025-2046</dc:subject>
  <dc:creator>asteuer</dc:creator>
  <cp:lastModifiedBy>asteuer</cp:lastModifiedBy>
  <cp:revision>2</cp:revision>
  <dcterms:created xsi:type="dcterms:W3CDTF">2025-03-27T09:45:00Z</dcterms:created>
  <dcterms:modified xsi:type="dcterms:W3CDTF">2025-03-27T10:04:00Z</dcterms:modified>
  <cp:category>Akt prawny</cp:category>
</cp:coreProperties>
</file>