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XV/123/25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 Specjalistycznego Nr 1 w Bytomiu, za 2022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500.000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2024 r. poz. 799, z późn.zm.), podmiot tworzący samodzielny publiczny zakład opieki zdrowotnej może pokryć stratę netto za rok obrotowy tego zakładu w kwocie, jaka nie może być pokryta przez zakład we własnym zakresie w sposób określony w art. 57 ust. 2 pkt 1 ww. 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 ul. Żeromskiego 7, za 2022 r., poddanym badaniu przez niezależnego biegłego rewidenta, udokumentowanym sprawozdaniem i opinią z dnia 19 kwietnia 2023 r. oraz zatwierdzonym przez Prezydenta Bytomia w dniu 19 czerwca 2023 r., Szpital poniósł stratę netto w wysokości - 18.145.558,11 zł, która po dodaniu kosztów amortyzacji w wysokości 2.764.783,73 zł, zamyka się kwotą -15.380.774,38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500.000 zł, na pokrycie części straty netto za 2022 rok. Nadmienia się, że uchwałą Nr LXXXVII/1091/23 Rady Miejskiej w Bytomiu z dnia 18 grudnia 2023 r., uchwałą Nr XCI/1138/24 Rady Miejskiej w Bytomiu z dnia 15 marca 2024 r., uchwałą Nr III/26/24 Rady Miejskiej w Bytomiu z dnia 17 czerwca 2024 r. oraz uchwałą Nr XII/97/24 Rady Miejskiej w Bytomiu z dnia 16 grudnia 2024 r. przeznaczono już na pokrycie części straty netto za 2022 rok kwotę 3.500.000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434AA672-EED3-4F7C-9BE7-A2BE3EA89D72.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434AA672-EED3-4F7C-9BE7-A2BE3EA89D72.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XV/123/25 z dnia 24 marca 2025 r.</dc:title>
  <dc:subject>w sprawie pokrycia przez Miasto Bytom części straty netto Szpitala Specjalistycznego Nr^1^w^Bytomiu, za 2022^r.</dc:subject>
  <dc:creator>asteuer</dc:creator>
  <cp:lastModifiedBy>asteuer</cp:lastModifiedBy>
  <cp:revision>1</cp:revision>
  <dcterms:created xsi:type="dcterms:W3CDTF">2025-03-27T09:43:21Z</dcterms:created>
  <dcterms:modified xsi:type="dcterms:W3CDTF">2025-03-27T09:43:21Z</dcterms:modified>
  <cp:category>Akt prawny</cp:category>
</cp:coreProperties>
</file>