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20.12.0 -->
  <w:body>
    <w:p w:rsidR="00A77B3E">
      <w:pPr>
        <w:spacing w:line="240" w:lineRule="auto"/>
        <w:ind w:left="0"/>
        <w:jc w:val="center"/>
        <w:rPr>
          <w:rFonts w:ascii="Arial" w:eastAsia="Arial" w:hAnsi="Arial" w:cs="Arial"/>
          <w:b/>
          <w:caps/>
          <w:sz w:val="24"/>
        </w:rPr>
      </w:pPr>
      <w:r>
        <w:rPr>
          <w:rFonts w:ascii="Arial" w:eastAsia="Arial" w:hAnsi="Arial" w:cs="Arial"/>
          <w:b/>
          <w:caps/>
          <w:sz w:val="24"/>
        </w:rPr>
        <w:t>Uchwała</w:t>
      </w:r>
      <w:r>
        <w:rPr>
          <w:rFonts w:ascii="Arial" w:eastAsia="Arial" w:hAnsi="Arial" w:cs="Arial"/>
          <w:b/>
          <w:caps/>
          <w:sz w:val="24"/>
        </w:rPr>
        <w:t xml:space="preserve"> Nr XLII/575/21</w:t>
      </w:r>
      <w:r>
        <w:rPr>
          <w:rFonts w:ascii="Arial" w:eastAsia="Arial" w:hAnsi="Arial" w:cs="Arial"/>
          <w:b/>
          <w:caps/>
          <w:sz w:val="24"/>
        </w:rPr>
        <w:br/>
      </w:r>
      <w:r>
        <w:rPr>
          <w:rFonts w:ascii="Arial" w:eastAsia="Arial" w:hAnsi="Arial" w:cs="Arial"/>
          <w:b/>
          <w:caps/>
          <w:sz w:val="24"/>
        </w:rPr>
        <w:t>Rady Miejskiej w Bytomiu</w:t>
      </w:r>
    </w:p>
    <w:p w:rsidR="00A77B3E">
      <w:pPr>
        <w:spacing w:before="280" w:after="280" w:line="240" w:lineRule="auto"/>
        <w:ind w:left="0"/>
        <w:jc w:val="center"/>
        <w:rPr>
          <w:rFonts w:ascii="Arial" w:eastAsia="Arial" w:hAnsi="Arial" w:cs="Arial"/>
          <w:b/>
          <w:caps/>
          <w:sz w:val="24"/>
        </w:rPr>
      </w:pPr>
      <w:r>
        <w:rPr>
          <w:rFonts w:ascii="Arial" w:eastAsia="Arial" w:hAnsi="Arial" w:cs="Arial"/>
          <w:b w:val="0"/>
          <w:caps w:val="0"/>
          <w:sz w:val="24"/>
        </w:rPr>
        <w:t>z dnia 26 kwietnia 2021 r.</w:t>
      </w:r>
    </w:p>
    <w:p w:rsidR="00A77B3E">
      <w:pPr>
        <w:keepNext/>
        <w:spacing w:before="0" w:after="480" w:line="240" w:lineRule="auto"/>
        <w:ind w:left="0" w:right="0" w:firstLine="0"/>
        <w:jc w:val="center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caps w:val="0"/>
          <w:sz w:val="24"/>
        </w:rPr>
        <w:t>zmieniająca uchwałę nr XXXVI/507/20 Rady Miejskiej w Bytomiu w sprawie wieloletniej prognozy finansowej miasta Bytomia na lata 2021 - 2046</w:t>
      </w:r>
    </w:p>
    <w:p w:rsidR="00A77B3E">
      <w:pPr>
        <w:keepNext w:val="0"/>
        <w:keepLines/>
        <w:spacing w:before="120" w:after="120" w:line="240" w:lineRule="auto"/>
        <w:ind w:left="0" w:right="0" w:firstLine="227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Na podstawie 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18 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 pkt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15 ustawy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dnia 8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marca 1990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samorządzie gminnym (Dz.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U.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2020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poz.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713,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późn. zm.), 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12 pkt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11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związku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92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ustawy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dnia 5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czerwca 1998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samorządzie powiatowym (Dz.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U.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2020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poz.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920) oraz 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231 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i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 ustawy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dnia 27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sierpnia 2009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finansach publicznych (Dz.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U.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2021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poz.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305) uchwala się, co następuje: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sz w:val="24"/>
        </w:rPr>
        <w:t>§ 1.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W uchwale nr XXXVI/507/20 Rady Miejskiej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Bytomiu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dnia 21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grudnia 2020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sprawie wieloletniej prognozy finansowej miasta Bytomia na lata 2021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- 2046,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załączniku nr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pn. „Wykaz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przedsięwzięć wieloletnich” dodaje się pozycję nr: 1.3.1.25, zmienia się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pozycje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nr: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1.1.1.1, 1.1.1.2, 1.1.1.4, 1.1.1.7, 1.1.1.12, 1.1.1.15, 1.1.1.17, 1.1.2.3, 1.1.2.5, 1.1.2.6, 1.1.2.7, 1.1.2.9, 1.1.2.21, 1.3.1.1, 1.3.1.7, 1.3.1.13, 1.3.1.14, 1.3.1.15, 1.3.1.21, 1.3.2.1, 1.3.2.4, 1.3.2.8, 1.3.2.10, 1.3.2.13, 1.3.2.21, 1.3.2.25, 1.3.2.27 oraz 1.3.2.29 -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brzmieniu jak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załączniku do niniejszej uchwały.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sz w:val="24"/>
        </w:rPr>
        <w:t>§ 2.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Wykonanie uchwały powierza się Prezydentowi Miasta.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sz w:val="24"/>
        </w:rPr>
        <w:t>§ 3.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Uchwała wchodzi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życie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dniem podjęcia.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</w:p>
    <w:p w:rsidR="00A77B3E">
      <w:pPr>
        <w:keepNext/>
        <w:spacing w:before="0" w:after="0"/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</w:pPr>
      <w:r>
        <w:rPr>
          <w:b w:val="0"/>
          <w:i w:val="0"/>
          <w:color w:val="000000"/>
          <w:u w:val="none"/>
          <w:vertAlign w:val="baseline"/>
        </w:rPr>
        <w:t> </w:t>
      </w:r>
    </w:p>
    <w:tbl>
      <w:tblPr>
        <w:tblW w:w="5000" w:type="pct"/>
        <w:tblInd w:w="5" w:type="dxa"/>
        <w:tblCellMar>
          <w:top w:w="0" w:type="dxa"/>
          <w:left w:w="0" w:type="dxa"/>
          <w:bottom w:w="0" w:type="dxa"/>
          <w:right w:w="0" w:type="dxa"/>
        </w:tblCellMar>
      </w:tblPr>
      <w:tblGrid>
        <w:gridCol w:w="4930"/>
        <w:gridCol w:w="4930"/>
      </w:tblGrid>
      <w:tr>
        <w:tblPrEx>
          <w:tblW w:w="5000" w:type="pct"/>
          <w:tblInd w:w="5" w:type="dxa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500" w:type="pct"/>
            <w:noWrap w:val="0"/>
            <w:tcMar>
              <w:top w:w="5" w:type="dxa"/>
              <w:left w:w="5" w:type="dxa"/>
              <w:bottom w:w="5" w:type="dxa"/>
              <w:right w:w="5" w:type="dxa"/>
            </w:tcMar>
            <w:vAlign w:val="top"/>
            <w:hideMark/>
          </w:tcPr>
          <w:p>
            <w:pPr>
              <w:keepNext/>
              <w:keepLines/>
              <w:jc w:val="left"/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</w:pPr>
          </w:p>
        </w:tc>
        <w:tc>
          <w:tcPr>
            <w:tcW w:w="2500" w:type="pct"/>
            <w:noWrap w:val="0"/>
            <w:tcMar>
              <w:top w:w="5" w:type="dxa"/>
              <w:left w:w="5" w:type="dxa"/>
              <w:bottom w:w="5" w:type="dxa"/>
              <w:right w:w="5" w:type="dxa"/>
            </w:tcMar>
            <w:vAlign w:val="top"/>
            <w:hideMark/>
          </w:tcPr>
          <w:p>
            <w:pPr>
              <w:keepNext/>
              <w:keepLines/>
              <w:spacing w:before="100" w:after="40"/>
              <w:ind w:left="1134" w:right="1134" w:firstLine="0"/>
              <w:jc w:val="center"/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</w:pP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t>Przewodniczący Rady Miejskiej</w:t>
            </w: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br/>
            </w: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br/>
            </w: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br/>
            </w:r>
            <w:r>
              <w:rPr>
                <w:b/>
                <w:i w:val="0"/>
              </w:rPr>
              <w:t>Mariusz Janas</w:t>
            </w:r>
          </w:p>
        </w:tc>
      </w:tr>
    </w:tbl>
    <w:p w:rsidR="00A77B3E">
      <w:pPr>
        <w:keepNext/>
        <w:spacing w:before="0" w:after="0"/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sectPr>
          <w:footerReference w:type="default" r:id="rId4"/>
          <w:endnotePr>
            <w:numFmt w:val="decimal"/>
          </w:endnotePr>
          <w:pgSz w:w="11906" w:h="16838"/>
          <w:pgMar w:top="1304" w:right="1020" w:bottom="992" w:left="1020" w:header="708" w:footer="708" w:gutter="0"/>
          <w:cols w:space="708"/>
          <w:docGrid w:linePitch="360"/>
        </w:sectPr>
      </w:pPr>
    </w:p>
    <w:p w:rsidR="00A77B3E">
      <w:pPr>
        <w:keepNext/>
        <w:spacing w:before="280" w:after="280" w:line="276" w:lineRule="auto"/>
        <w:ind w:left="4535" w:right="0" w:firstLine="0"/>
        <w:jc w:val="left"/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sectPr>
          <w:footerReference w:type="default" r:id="rId5"/>
          <w:endnotePr>
            <w:numFmt w:val="decimal"/>
          </w:endnotePr>
          <w:type w:val="nextPage"/>
          <w:pgSz w:w="11906" w:h="16838"/>
          <w:pgMar w:top="1304" w:right="1020" w:bottom="992" w:left="1020" w:header="708" w:footer="708" w:gutter="0"/>
          <w:cols w:space="708"/>
          <w:docGrid w:linePitch="360"/>
        </w:sectPr>
      </w:pPr>
      <w:r>
        <w:t>Załącznik do uchwały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 xml:space="preserve"> Nr XLII/575/21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br/>
      </w:r>
      <w:r>
        <w:t>Rady Miejskiej w Bytomiu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br/>
      </w:r>
      <w:r>
        <w:rPr>
          <w:rFonts w:ascii="Arial" w:eastAsia="Arial" w:hAnsi="Arial" w:cs="Arial"/>
          <w:sz w:val="24"/>
        </w:rPr>
        <w:t>z dnia 26 kwietnia 2021 r.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br/>
      </w:r>
      <w:hyperlink r:id="rId6" w:history="1">
        <w:r>
          <w:rPr>
            <w:rStyle w:val="Hyperlink"/>
            <w:rFonts w:ascii="Arial" w:eastAsia="Arial" w:hAnsi="Arial" w:cs="Arial"/>
            <w:b w:val="0"/>
            <w:i w:val="0"/>
            <w:caps w:val="0"/>
            <w:strike w:val="0"/>
            <w:color w:val="auto"/>
            <w:sz w:val="24"/>
            <w:u w:val="none"/>
            <w:vertAlign w:val="baseline"/>
          </w:rPr>
          <w:t>Zalacznik1.pdf</w:t>
        </w:r>
      </w:hyperlink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contextualSpacing w:val="0"/>
        <w:jc w:val="center"/>
        <w:rPr>
          <w:rFonts w:eastAsia="Times New Roman" w:cs="Times New Roman"/>
          <w:szCs w:val="20"/>
        </w:rPr>
      </w:pPr>
      <w:r>
        <w:rPr>
          <w:rFonts w:eastAsia="Times New Roman" w:cs="Times New Roman"/>
          <w:caps/>
          <w:szCs w:val="20"/>
        </w:rPr>
        <w:t>Uzasadnienie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40" w:beforeAutospacing="0" w:after="40" w:afterAutospacing="0" w:line="240" w:lineRule="auto"/>
        <w:ind w:left="0" w:right="0" w:firstLine="227"/>
        <w:contextualSpacing w:val="0"/>
        <w:jc w:val="center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objaśnienia do zmian w wieloletniej prognozie finansowej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00" w:beforeAutospacing="0" w:after="60" w:afterAutospacing="0" w:line="240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W uchwale nr XXXVI/507/20 Rady Miejskiej w Bytomiu z dnia 21 grudnia 2020 r. w sprawie wieloletniej prognozy finansowej miasta Bytomia na lata 2021 - 2046 w załączniku nr 2 pn. „Wykaz przedsięwzięć wieloletnich”: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00" w:beforeAutospacing="0" w:after="60" w:afterAutospacing="0" w:line="240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- dodaje się pozycję nr 1.3.1.25 pn. „System monitoringu dzikich wysypisk w Bytomiu”. Łączne nakłady zadania finansowanego z budżetu miasta wyniosą 941.424 zł. Zadanie będzie realizowane w latach 2021 - 2025 w Wydziale Inżynierii Środowiska. Celem projektu jest monitoring terenów pod kątem ochrony środowiska, w szczególności miejsc nielegalnego zrzutu odpadów,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00" w:beforeAutospacing="0" w:after="60" w:afterAutospacing="0" w:line="240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- zmienia się pozycję nr 1.1.1.12 pn. „Innowacje drogą do sukcesu w turystyce, hotelarstwie i gastronomii”. Zwiększa się o kwotę 158.080 zł nakłady finansowe zadania w 2021 roku ze środków Fundacji Rozwoju Systemu Edukacji Erasmus+ w związku z niewykorzystaniem środków w 2020 roku z powodu pandemii. Realizatorem zadania jest Zespół Szkół Gastronomiczno-Hotelarskich.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00" w:beforeAutospacing="0" w:after="60" w:afterAutospacing="0" w:line="240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W ramach realizacji przedsięwzięć w Miejskim Zarządzie Dróg i Mostów: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00" w:beforeAutospacing="0" w:after="60" w:afterAutospacing="0" w:line="240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- zmienia się pozycję nr 1.3.1.21 pn. „Wyposażenie Strefy Płatnego Parkowania w urządzenia i oprogramowanie niezbędne do poboru opłat za postój w Strefie Płatnego Parkowania”. W związku z rozstrzygnięciem postępowania przetargowego i podpisaniem umowy z wykonawcą dostosowuje się wysokość planu w poszczególnych latach do kwot wynikających z umowy, w tym zmniejsza się łączne nakłady finansowe zadania o kwotę 427.470 zł, a planowane na 2021 rok nakłady zmniejsza się o 262.225 zł,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00" w:beforeAutospacing="0" w:after="60" w:afterAutospacing="0" w:line="240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- zmienia się pozycję nr 1.3.2.1 pn. „Przebudowa ul. Piekarskiej w związku z planowaną przez Tramwaje Śląskie S.A. przebudową torowiska tramwajowego”. Zwiększa się łączne nakłady finansowe zadania o kwotę 8.000.000 zł, w tym planowane na 2022 i 2023 rok nakłady o 4.000.000 zł w każdym roku, w związku z koniecznością dostosowania planowanych nakładów do kwot wynikających z kosztorysu inwestycji,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00" w:beforeAutospacing="0" w:after="60" w:afterAutospacing="0" w:line="240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- zmienia się pozycję nr 1.3.2.10 pn. „Przebudowa ul. Węglowej - etap I (RFIL)”. W związku z otrzymaniem środków z Rządowego Funduszu Inwestycji Lokalnych na wsparcie realizacji zadań inwestycyjnych zwiększa się łączne i planowane na 2021 rok nakłady finansowe zadania o kwotę 1.850.000 zł,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00" w:beforeAutospacing="0" w:after="60" w:afterAutospacing="0" w:line="240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- zmienia się pozycję nr 1.3.2.13 pn. „Przebudowa ulicy Cyryla i Metodego – etap I”. Zwiększa się łączne i planowane na 2021 rok nakłady finansowe przedsięwzięcia o kwotę 36.000 zł w związku ze zwiększeniem zakresu projektowego zadania.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00" w:beforeAutospacing="0" w:after="60" w:afterAutospacing="0" w:line="240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Jednocześnie w uchwale: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00" w:beforeAutospacing="0" w:after="60" w:afterAutospacing="0" w:line="240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- zmienia się pozycję nr 1.3.2.29 pn. „Współfinansowanie zadań związanych z realizacją inwestycji pn.: Budowa kompleksu sportowego przy ul. Olimpijskiej w Bytomiu - etap I”. Zwiększa się łączne i planowane na 2023 rok nakłady finansowe zadania o kwotę 6.779.000 zł w celu dostosowanie wysokości planowanych nakładów finansowych do kwoty najkorzystniejszej oferty złożonej w postępowaniu przetargowym.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00" w:beforeAutospacing="0" w:after="60" w:afterAutospacing="0" w:line="240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Ponadto, w uchwale aktualizuje się wartości limitów zobowiązań (kolumna 19 załącznika nr 2 do uchwały nr XXXVI/507/20 Rady Miejskiej w Bytomiu z dnia 21 grudnia 2020 r.) w związku z zawartymi umowami w ramach realizacji przedsięwzięć w następujących pozycjach: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00" w:beforeAutospacing="0" w:after="60" w:afterAutospacing="0" w:line="240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- nr 1.1.1.1 pn. „Kompleksowe, alternatywne i aktywizacyjne usługi terapeutyczne dla osób przewlekle psychicznie chorych – mieszkańców miasta Bytom, w tym mieszkańców DPS dla Dorosłych (OSI)”,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- nr 1.1.1.2 pn. „Szansa dla dziecka (OSI)”,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- nr 1.1.1.4 pn. „S.O.S. dla dzielnicy Bobrek – aktywizacja zawodowa i społeczna”,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- nr 1.1.1.7 pn. „Jak w rodzinie – utworzenie zespołu placówek opiekuńczo-wychowawczych (OSI)”,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- nr 1.1.1.15 pn. „Rewitalizacja społeczna bezrobotnych mieszkańców Bytomia poprzez aktywizację zawodową – etap II”,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- nr 1.1.1.17 pn. „Zero ryzyka dla pracownika – wspólny projekt MOPR i PUP w Bytomiu”,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- nr 1.1.2.3 pn. „Termomodernizacja oraz zmiana systemów ogrzewania nieruchomości zlokalizowanych w Śródmieściu Bytomia (OSI)”,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- nr 1.1.2.5 pn. „Rewitalizacja podobszaru 19 – Bytom zabytkowe osiedle przy ul. Kolonia Zgorzelec (OSI)”,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- nr 1.1.2.6 pn. „Renowacja budynku i pomieszczeń Młodzieżowego Domu Kultury nr 1 w Bytomiu”,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- nr 1.1.2.7 pn. „Utworzenie Centrum Usług Społecznych oraz lokali socjalnych, wspomaganych i chronionych w Bytomiu (Śródmieście i Rozbark)”,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- nr 1.1.2.9 pn. „Rozwój mieszkalnictwa socjalnego w Bytomiu – podobszar 8 Bobrek”,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- nr 1.1.2.21 pn. „Lepsze umiejętności – większe szanse na rynku pracy. Poprawa infrastruktury kształcenia zawodowego w Bytomiu”,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- nr 1.3.1.1 pn. „Zarządzanie systemem jakości w Urzędzie Miejskim”,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- nr 1.3.1.7 pn. „Świadczenia dziennej opieki nad dziećmi z terenu miasta Bytomia w placówkach opiekuńczo-wychowawczych wsparcia dziennego”,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- nr 1.3.1.13 pn. „Pokrywanie kosztów wyżywienia i zakwaterowania dzieci z pieczy zastępczej, będących mieszkańcami Bytomia, a umieszczonych przez sąd w zakładach opiekuńczo-leczniczych”,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- nr 1.3.1.14 pn. „Edukacja kulturalna. Pokłady kultury – miejski program edukacji kulturalnej”,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- nr 1.3.1.15 pn. „Badanie sprawozdania finansowego miasta Bytomia za 2019 i 2020 rok”,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- nr 1.3.2.4 pn. „Alternatywne finansowanie inwestycji termomodernizacyjnej prowadzonej w budynku przy ul. Skrajnej 14a w Bytomiu”,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- nr 1.3.2.8 pn. „Dostosowanie budynku i otoczenia do potrzeb osób niepełnosprawnych Domu Pomocy Społecznej ”Kombatant" w Bytomiu, etap II – Modernizacja balkonów wraz z naprawą elewacji”,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- nr 1.3.2.21 pn. „Rozbudowa i przebudowa Przedszkola Miejskiego nr 36 w Bytomiu (RFIL)”,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- nr 1.3.2.25 pn. „Prowadzenie postępowania sądowego w przedmiocie dochodzenia odszkodowania od podmiotów górniczych za szkody wyrządzone na nieruchomości gminnej położonej w Bytomiu przy ul. Dzierżonia 21”,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- nr 1.3.2.27 pn. „Wymiana dźwigu osobowego w budynku nr 1 i w budynku nr 5 Szpitala Specjalistycznego nr 1 w Bytomiu”.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Zmiany planu przychodów, dochodów i wydatków budżetu miasta na 2021 rok wynikające z § 1 niniejszej uchwały, dokonane zostaną w  trybie odrębnej uchwały rady miejskiej i zarządzenia prezydenta, zgodnie z kompetencjami.</w:t>
      </w:r>
    </w:p>
    <w:sectPr>
      <w:footerReference w:type="default" r:id="rId7"/>
      <w:endnotePr>
        <w:numFmt w:val="decimal"/>
      </w:endnotePr>
      <w:type w:val="nextPage"/>
      <w:pgSz w:w="11906" w:h="16838" w:code="0"/>
      <w:pgMar w:top="1304" w:right="1020" w:bottom="992" w:left="1020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5" w:type="dxa"/>
            <w:bottom w:w="5" w:type="dxa"/>
            <w:right w:w="5" w:type="dxa"/>
          </w:tcMar>
          <w:vAlign w:val="top"/>
          <w:hideMark/>
        </w:tcPr>
        <w:p>
          <w:pPr>
            <w:jc w:val="lef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>Id: 9EBD12B4-49F4-466A-90B4-96FE9A22B544.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5" w:type="dxa"/>
            <w:bottom w:w="5" w:type="dxa"/>
            <w:right w:w="5" w:type="dxa"/>
          </w:tcMar>
          <w:vAlign w:val="top"/>
          <w:hideMark/>
        </w:tcPr>
        <w:p>
          <w:pPr>
            <w:jc w:val="righ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 xml:space="preserve">Strona </w:t>
          </w:r>
          <w:r>
            <w:rPr>
              <w:rFonts w:ascii="Arial" w:eastAsia="Arial" w:hAnsi="Arial" w:cs="Arial"/>
              <w:b w:val="0"/>
              <w:sz w:val="18"/>
            </w:rPr>
            <w:fldChar w:fldCharType="begin"/>
          </w:r>
          <w:r>
            <w:rPr>
              <w:rFonts w:ascii="Arial" w:eastAsia="Arial" w:hAnsi="Arial" w:cs="Arial"/>
              <w:b w:val="0"/>
              <w:sz w:val="18"/>
            </w:rPr>
            <w:instrText>PAGE</w:instrText>
          </w:r>
          <w:r>
            <w:rPr>
              <w:rFonts w:ascii="Arial" w:eastAsia="Arial" w:hAnsi="Arial" w:cs="Arial"/>
              <w:b w:val="0"/>
              <w:sz w:val="18"/>
            </w:rPr>
            <w:fldChar w:fldCharType="separate"/>
          </w:r>
          <w:r>
            <w:rPr>
              <w:rFonts w:ascii="Arial" w:eastAsia="Arial" w:hAnsi="Arial" w:cs="Arial"/>
              <w:b w:val="0"/>
              <w:sz w:val="18"/>
            </w:rPr>
            <w:fldChar w:fldCharType="end"/>
          </w:r>
        </w:p>
      </w:tc>
    </w:tr>
  </w:tbl>
  <w:p>
    <w:pPr>
      <w:rPr>
        <w:rFonts w:ascii="Arial" w:eastAsia="Arial" w:hAnsi="Arial" w:cs="Arial"/>
        <w:b w:val="0"/>
        <w:sz w:val="18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5" w:type="dxa"/>
            <w:bottom w:w="5" w:type="dxa"/>
            <w:right w:w="5" w:type="dxa"/>
          </w:tcMar>
          <w:vAlign w:val="top"/>
          <w:hideMark/>
        </w:tcPr>
        <w:p>
          <w:pPr>
            <w:jc w:val="lef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>Id: 9EBD12B4-49F4-466A-90B4-96FE9A22B544.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5" w:type="dxa"/>
            <w:bottom w:w="5" w:type="dxa"/>
            <w:right w:w="5" w:type="dxa"/>
          </w:tcMar>
          <w:vAlign w:val="top"/>
          <w:hideMark/>
        </w:tcPr>
        <w:p>
          <w:pPr>
            <w:jc w:val="righ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 xml:space="preserve">Strona </w:t>
          </w:r>
          <w:r>
            <w:rPr>
              <w:rFonts w:ascii="Arial" w:eastAsia="Arial" w:hAnsi="Arial" w:cs="Arial"/>
              <w:b w:val="0"/>
              <w:sz w:val="18"/>
            </w:rPr>
            <w:fldChar w:fldCharType="begin"/>
          </w:r>
          <w:r>
            <w:rPr>
              <w:rFonts w:ascii="Arial" w:eastAsia="Arial" w:hAnsi="Arial" w:cs="Arial"/>
              <w:b w:val="0"/>
              <w:sz w:val="18"/>
            </w:rPr>
            <w:instrText>PAGE</w:instrText>
          </w:r>
          <w:r>
            <w:rPr>
              <w:rFonts w:ascii="Arial" w:eastAsia="Arial" w:hAnsi="Arial" w:cs="Arial"/>
              <w:b w:val="0"/>
              <w:sz w:val="18"/>
            </w:rPr>
            <w:fldChar w:fldCharType="separate"/>
          </w:r>
          <w:r>
            <w:rPr>
              <w:rFonts w:ascii="Arial" w:eastAsia="Arial" w:hAnsi="Arial" w:cs="Arial"/>
              <w:b w:val="0"/>
              <w:sz w:val="18"/>
            </w:rPr>
            <w:fldChar w:fldCharType="end"/>
          </w:r>
        </w:p>
      </w:tc>
    </w:tr>
  </w:tbl>
  <w:p>
    <w:pPr>
      <w:rPr>
        <w:rFonts w:ascii="Arial" w:eastAsia="Arial" w:hAnsi="Arial" w:cs="Arial"/>
        <w:b w:val="0"/>
        <w:sz w:val="18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5" w:type="dxa"/>
            <w:bottom w:w="5" w:type="dxa"/>
            <w:right w:w="5" w:type="dxa"/>
          </w:tcMar>
          <w:vAlign w:val="top"/>
          <w:hideMark/>
        </w:tcPr>
        <w:p>
          <w:pPr>
            <w:jc w:val="lef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>Id: 9EBD12B4-49F4-466A-90B4-96FE9A22B544.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5" w:type="dxa"/>
            <w:bottom w:w="5" w:type="dxa"/>
            <w:right w:w="5" w:type="dxa"/>
          </w:tcMar>
          <w:vAlign w:val="top"/>
          <w:hideMark/>
        </w:tcPr>
        <w:p>
          <w:pPr>
            <w:jc w:val="righ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 xml:space="preserve">Strona </w:t>
          </w:r>
          <w:r>
            <w:rPr>
              <w:rFonts w:ascii="Arial" w:eastAsia="Arial" w:hAnsi="Arial" w:cs="Arial"/>
              <w:b w:val="0"/>
              <w:sz w:val="18"/>
            </w:rPr>
            <w:fldChar w:fldCharType="begin"/>
          </w:r>
          <w:r>
            <w:rPr>
              <w:rFonts w:ascii="Arial" w:eastAsia="Arial" w:hAnsi="Arial" w:cs="Arial"/>
              <w:b w:val="0"/>
              <w:sz w:val="18"/>
            </w:rPr>
            <w:instrText>PAGE</w:instrText>
          </w:r>
          <w:r>
            <w:rPr>
              <w:rFonts w:ascii="Arial" w:eastAsia="Arial" w:hAnsi="Arial" w:cs="Arial"/>
              <w:b w:val="0"/>
              <w:sz w:val="18"/>
            </w:rPr>
            <w:fldChar w:fldCharType="separate"/>
          </w:r>
          <w:r>
            <w:rPr>
              <w:rFonts w:ascii="Arial" w:eastAsia="Arial" w:hAnsi="Arial" w:cs="Arial"/>
              <w:b w:val="0"/>
              <w:sz w:val="18"/>
            </w:rPr>
            <w:fldChar w:fldCharType="end"/>
          </w:r>
        </w:p>
      </w:tc>
    </w:tr>
  </w:tbl>
  <w:p>
    <w:pPr>
      <w:rPr>
        <w:rFonts w:ascii="Arial" w:eastAsia="Arial" w:hAnsi="Arial" w:cs="Arial"/>
        <w:b w:val="0"/>
        <w:sz w:val="18"/>
      </w:rPr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A77B3E"/>
    <w:rsid w:val="00CA2A55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left"/>
    </w:pPr>
    <w:rPr>
      <w:rFonts w:ascii="Arial" w:eastAsia="Arial" w:hAnsi="Arial" w:cs="Arial"/>
      <w:sz w:val="24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character" w:styleId="Hyperlink">
    <w:name w:val="Hyperlink"/>
    <w:basedOn w:val="DefaultParagraphFont"/>
    <w:rsid w:val="00EF7B96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footer" Target="footer2.xml" /><Relationship Id="rId6" Type="http://schemas.openxmlformats.org/officeDocument/2006/relationships/hyperlink" Target="Zalacznik1.pdf" TargetMode="External" /><Relationship Id="rId7" Type="http://schemas.openxmlformats.org/officeDocument/2006/relationships/footer" Target="footer3.xml" /><Relationship Id="rId8" Type="http://schemas.openxmlformats.org/officeDocument/2006/relationships/theme" Target="theme/theme1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/>
      </a:dk1>
      <a:lt1>
        <a:sysClr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 Bytomiu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XLII/575/21 z dnia 26 kwietnia 2021 r.</dc:title>
  <dc:subject>zmieniająca uchwałę nr XXXVI/507/20 Rady Miejskiej w^Bytomiu w^sprawie wieloletniej prognozy finansowej miasta Bytomia na lata 2021^- 2046</dc:subject>
  <dc:creator>masocha</dc:creator>
  <cp:lastModifiedBy>masocha</cp:lastModifiedBy>
  <cp:revision>1</cp:revision>
  <dcterms:created xsi:type="dcterms:W3CDTF">2021-04-27T09:54:48Z</dcterms:created>
  <dcterms:modified xsi:type="dcterms:W3CDTF">2021-04-27T09:54:48Z</dcterms:modified>
  <cp:category>Akt prawny</cp:category>
</cp:coreProperties>
</file>