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XIV/122/25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lutego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przekazania skargi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uznaje się za organ niewłaściwy do rozpatrzenia skargi mieszkańca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zarzutów kierowanych pod adresem Miejskiej Komisji Rozwiązywania Problemów Alkoholowych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Ośrodku Interwencji Kryzysowej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przekazuje skargę do Prezydenta Miasta Bytomia do rozpatrzenia według właściwości.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zobowiązując do przekazania skargi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zawiadomienia skarżącego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jej przekazaniu.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3 lutego 2025 r. i 6 lutego 2025 r. rozpatrywała skargę pana P.S., która w części zawierała zarzuty wobec działania Miejskiej Komisji Rozwiązywania Problemów Alkoholowych w Ośrodku Interwencji Kryzysowej w Bytomiu. Komisja Skarg, Wniosków i Petycji Rady Miejskiej w Bytomiu uznała, iż Rada Miejska nie jest organem właściwym do rozpatrzenia skargi pana P.S. z dnia 24 stycznia 2025 r. w ww. zakresie, a skargę należy przekazać Prezydentowi Miasta Bytomia do rozpatrzenia według właściwości zgodnie z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1 </w:t>
      </w:r>
      <w:r>
        <w:rPr>
          <w:rFonts w:eastAsia="Times New Roman" w:cs="Times New Roman"/>
          <w:color w:val="000000"/>
          <w:szCs w:val="20"/>
          <w:u w:color="000000"/>
        </w:rPr>
        <w:t>ust. 3 ustawy z dnia 26 października 1982 r. o wychowaniu w trzeźwości i przeciwdziałaniu alkoholizmowi (Dz.U.2023.2151) oraz art. 229 Kodeksu postępowania administracyjnego (Dz.U. z 2024 r. poz. 572).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Rada Miejska w ślad za ustaleniami Komisji Skarg, Wniosków i Petycji, uznaje się za organ niewłaściwy do rozpatrzenia skargi mieszkańca w zakresie zarzutów kierowanych pod adresem Miejskiej Komisji Rozwiązywania Problemów Alkoholowych w Ośrodku Interwencji Kryzysowej w Bytomiu i przekazuje skargę do Prezydenta Miasta Bytomia do rozpatrzenia według właściwości.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758DE7FC-2165-4576-A8F6-BAA299917807.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758DE7FC-2165-4576-A8F6-BAA299917807.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XIV/122/25 z dnia 10 lutego 2025 r.</dc:title>
  <dc:subject>w sprawie przekazania skargi</dc:subject>
  <dc:creator>asteuer</dc:creator>
  <cp:lastModifiedBy>asteuer</cp:lastModifiedBy>
  <cp:revision>1</cp:revision>
  <dcterms:created xsi:type="dcterms:W3CDTF">2025-02-17T12:09:51Z</dcterms:created>
  <dcterms:modified xsi:type="dcterms:W3CDTF">2025-02-17T12:09:51Z</dcterms:modified>
  <cp:category>Akt prawny</cp:category>
</cp:coreProperties>
</file>