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2.4.0 -->
  <w:body>
    <w:p w:rsidR="00A77B3E">
      <w:pPr>
        <w:spacing w:line="276"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XIV/120/25</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76" w:lineRule="auto"/>
        <w:ind w:left="0"/>
        <w:jc w:val="center"/>
        <w:rPr>
          <w:rFonts w:ascii="Arial" w:eastAsia="Arial" w:hAnsi="Arial" w:cs="Arial"/>
          <w:b/>
          <w:caps/>
          <w:sz w:val="24"/>
        </w:rPr>
      </w:pPr>
      <w:r>
        <w:rPr>
          <w:rFonts w:ascii="Arial" w:eastAsia="Arial" w:hAnsi="Arial" w:cs="Arial"/>
          <w:b w:val="0"/>
          <w:caps w:val="0"/>
          <w:sz w:val="24"/>
        </w:rPr>
        <w:t>z dnia 10 lutego 2025 r.</w:t>
      </w:r>
    </w:p>
    <w:p w:rsidR="00A77B3E">
      <w:pPr>
        <w:keepNext/>
        <w:spacing w:before="0" w:after="480" w:line="276"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rozpatrzenia petycji</w:t>
      </w:r>
    </w:p>
    <w:p w:rsidR="00A77B3E">
      <w:pPr>
        <w:keepNext w:val="0"/>
        <w:keepLines/>
        <w:spacing w:before="120" w:after="120" w:line="276"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(Dz.U.</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1465,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petycjach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2018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870) uchwala się, co następuje:</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Nie uwzględnia się</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petycji złożonej przez pana Ł.G.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sprawie planu likwidacji Przedszkola Miejskiego nr 62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Uzasadnienie rozstrzygnięcia petycji znajduje się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uzasadnieniu niniejszej uchwały.</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Zobowiązuje się Przewodniczącego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do powiadomienia składającego petycję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sposobie jej rozpatrzenia poprzez przesłanie uchwały wraz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uzasadnieniem.</w:t>
      </w:r>
    </w:p>
    <w:p w:rsidR="00A77B3E">
      <w:pPr>
        <w:keepNext/>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4.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podjęcia.</w:t>
      </w:r>
    </w:p>
    <w:p w:rsidR="00A77B3E">
      <w:pPr>
        <w:keepNext/>
        <w:keepLines/>
        <w:spacing w:before="120" w:after="120" w:line="276"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 </w:t>
      </w:r>
    </w:p>
    <w:p w:rsidR="00A77B3E">
      <w:pPr>
        <w:keepNext/>
        <w:spacing w:before="0" w:after="0"/>
        <w:rPr>
          <w:rFonts w:ascii="Arial" w:eastAsia="Arial" w:hAnsi="Arial" w:cs="Arial"/>
          <w:b w:val="0"/>
          <w:i w:val="0"/>
          <w:caps w:val="0"/>
          <w:strike w:val="0"/>
          <w:color w:val="auto"/>
          <w:sz w:val="24"/>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Wiceprzewodniczący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Andrzej Wężyk</w:t>
            </w:r>
          </w:p>
        </w:tc>
      </w:tr>
    </w:tbl>
    <w:p w:rsidR="00A77B3E">
      <w:pPr>
        <w:keepNext/>
        <w:spacing w:before="0" w:after="0"/>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 dniu 22 listopada 2024 r. do Urzędu Miejskiego w Bytomiu wpłynęło pismo pana Ł.G. przedstawiciela rodziców dzieci uczęszczających do Przedszkola Miejskiego nr 62 w Bytomiu oraz mieszkańców Bytomia z petycją w sprawie planu likwidacji Przedszkola Miejskiego nr 62 w Bytomiu. W piśmie rodzice oraz mieszkańcy sprzeciwili się likwidacji bardzo dobrze funkcjonującej ich zdaniem placówki oświatowej. W petycji zwrócono uwagę na to, iż gmina, która nie jest właścicielem nieruchomości ponosi jedynie koszty opłat czynszowych za lokal, w którym mieści się ww. przedszkole, a nie ponosi żadnych kosztów związanych z utrzymaniem ww. placówki tj. kosztów remontu i modernizacji. W piśmie zasugerowano, by gmina porozumiała się z właścicielem nieruchomości - Spółdzielnią Mieszkaniową Miechowice w sprawie obniżenia czynszu za lokal, w którym mieści się ww. przedszkole. Petycja zawierała również propozycję rozbudowy Przedszkola Miejskiego nr 58 w Miechowicach o oddział żłobkowy, którego brakuje w tej części miasta. Działanie takie w efekcie zmniejszyłoby liczbę wolnych miejsc w tej placówce i pozwoliło na dalsze funkcjonowanie Przedszkola Miejskiego nr 62 w Bytomiu. Pan Ł.G. w petycji wskazał, iż według rodziców przenoszenie dzieci do innych przedszkoli będzie się wiązało ze zmianą otoczenia dzieci i ich opiekunów, co wpłynie negatywnie na proces edukacyjny dzieci.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Komisja Skarg, Wniosków i Petycji w dniu 9 grudnia 2024 r. zwróciła się pisemnie do Prezydenta Miasta Bytomia z prośbą o odniesienie się do kwestii przedstawionych w ww. petycji. W odpowiedzi II Zastępca Prezydenta Bytomia z dnia 16 grudnia 2024 r. poinformował, że lokal użytkowy w którym mieści się Przedszkole Miejskie nr 62 w Bytomiu, stanowi własność Spółdzielni Mieszkaniowej Miechowice. W związku z powyższym gmina istotnie nie ponosiła kosztów związanych z remontami i modernizacją ww. budynku. Jednakże dostosowanie budynku do obowiązujących przepisów wymagałoby opracowania dokumentacji projektowej i wiązałoby się ze znacznymi kosztami, ze względu na brak jakichkolwiek remontów w ostatnich latach.</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 ostatnich latach przepisy w zakresie dostosowania budynków narzuciły liczne wymogi dotyczące tego typu obiektów, np. dotyczące spełniania wymogów przeciwpożarowych, wymogów względem przepisów dotyczących kuchni, jak HACAP, a także w zakresie dostępności dla osób ze specjalnymi potrzebami. Przed przeprowadzeniem analizy budynku pod kątem możliwości spełnienia tych wymogów nie można jednoznacznie wskazać, czy dostosowanie takie byłoby możliwe. Ponadto wszystkie koszty związane z dostosowaniem budynku musiałby ponieść właściciel budynku, co wiązałoby się ze wzrostem kosztów związanych z wynajmem.</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Poinformowano również, że Dyrektor Przedszkola Miejskiego nr 62 w Bytomiu w 2022 r. i w 2024 r. przeprowadziła rozmowy z Prezes Spółdzielni Mieszkaniowej Miechowice o obniżeniu czynszu dzierżawnego za lokal, w którym mieści się przedszkole i dwukrotnie nie uzyskała zgody na jego obniżenie.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Z informacji przekazanych przez Dyrektor Zespołu Żłobków Miejskich w Bytomiu istotnie jest potrzeba utworzenia kolejnego oddziału żłobkowego przy Przedszkolu Miejskim nr 58 w Bytomiu, gdyż na liście oczekujących znajduję się obecnie 16 dzieci. Jednakże adaptacja pomieszczeń przedszkolnych na kolejne oddziały żłobka wiązałaby się ze znacznymi nakładami finansowymi, a także z problemami technicznymi i funkcjonalnymi. Na potrzeby kolejnego oddziału żłobkowego konieczne byłoby wydzielenie dodatkowych pomieszczeń tj. kuchnia mleczna, czy nocnikarnia. Konieczność wydzielenia oddziału żłobkowego wymagałaby wykorzystania na potrzeby jednego oddziału żłobkowego pomieszczeń obecnie wykorzystywanych na dwa oddziały przedszkolne. Postępowanie takie wiązałoby się z poniesieniem niewspółmiernie wysokich kosztów adaptacji istniejących pomieszczeń, porównywalnych z kosztami budowy lub dobudowy oddziału żłobkowego w innej lokalizacji. Nie ma racjonalnego wytłumaczenia dla ponoszenia tak wysokich kosztów adaptacji w nowo wybudowanym przedszkolu, która prowadziłaby do zniszczenia utworzonych oddziałów przedszkolnych. Postępowanie takie stanowi naruszenie ustawy o finansach publicznych w zakresie racjonalnego gospodarowania środkami.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 kwestii procesu edukacyjnego dzieci wyjaśniono, że wszystkim dzieciom zapewniono kontynuację wychowania przedszkolnego w Przedszkolu Miejskim nr 58 w Bytomiu, które jest w pełni dostosowane do wymagań związanych z realizacją wychowania przedszkolnego. Przeniesienie dzieci do nowego budynku znacząco wpłynęłoby na polepszenie warunków kształcenia, wychowania i opieki, a także zapewniło bezpieczne i higieniczne warunki pobytu dzieci w przedszkolu. Uwzględniając jednak indywidualne życzenia rodziców, umożliwiono rodzicom wybór przedszkola na terenie miasta, w którym chcą kontynuować wychowanie przedszkolne swoich dzieci.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Wszystkie wybrane przez rodziców przedszkola od przyszłego roku będą dysponować wolnymi miejscami i każde z nich jest w pełni dostosowane do wymagań związanych z realizacją wychowania przedszkolnego. Dzieci przeniesione do innych przedszkoli będą mieć zapewnione jak najlepsze warunki kształcenia, wychowania i opieki, a także bezpieczne i higieniczne warunki pobytu w przedszkolu. Ponadto w każdym z przedszkoli zatrudniona jest wykwalifikowana kadra pedagogiczna, nauczyciele posiadają wyższe wykształcenie pedagogiczne, a ich kwalifikacje są zgodne z wykonywaną pracą. We wszystkich placówkach zatrudnieni są również specjaliści m.in. psycholodzy, pedagodzy specjalni oraz logopedzi, prowadzone są także zajęcia rewalidacyjne dla dzieci posiadających orzeczenie o potrzebie kształcenia specjalnego. Reasumując dzieci z likwidowanego Przedszkola Miejskiego nr 62 przeniesione, według woli rodziców, do innych przedszkoli funkcjonujących na terenie miasta będą mieć zapewniony prawidłowy przebieg procesu edukacyjnego.</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Komisja po przeanalizowaniu treści petycji i pozostałej dokumentacji oraz po dyskusji postanowiła nie uwzględnić petycji i wnosi do Rady Miejskiej w Bytomiu o podjęcie niniejszej uchwały.</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Rada Miejska w Bytomiu w ślad za ustaleniami Komisji Skarg, Wniosków i Petycji postanawia nie uwzględnić petycji.</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18C014A6-56EE-4AA1-B432-C9A9736CF8BC.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18C014A6-56EE-4AA1-B432-C9A9736CF8BC.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lang w:val="pl-PL" w:eastAsia="pl-PL" w:bidi="pl-PL"/>
    </w:rPr>
  </w:style>
  <w:style w:type="character" w:default="1" w:styleId="DefaultParagraphFont">
    <w:name w:val="Default Paragraph Font"/>
    <w:semiHidden/>
    <w:rPr>
      <w:lang w:val="pl-PL" w:eastAsia="pl-PL" w:bidi="pl-PL"/>
    </w:rPr>
  </w:style>
  <w:style w:type="table" w:default="1" w:styleId="TableNormal">
    <w:name w:val="Normal Table"/>
    <w:semiHidden/>
    <w:rPr>
      <w:lang w:val="pl-PL" w:eastAsia="pl-PL" w:bidi="pl-PL"/>
    </w:rPr>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XIV/120/25 z dnia 10 lutego 2025 r.</dc:title>
  <dc:subject>w sprawie rozpatrzenia petycji</dc:subject>
  <dc:creator>asteuer</dc:creator>
  <cp:lastModifiedBy>asteuer</cp:lastModifiedBy>
  <cp:revision>1</cp:revision>
  <dcterms:created xsi:type="dcterms:W3CDTF">2025-02-17T12:07:56Z</dcterms:created>
  <dcterms:modified xsi:type="dcterms:W3CDTF">2025-02-17T12:07:56Z</dcterms:modified>
  <cp:category>Akt prawny</cp:category>
</cp:coreProperties>
</file>