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XIV/113/25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10 lutego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poparcia działań zmierzających do zrzeczenia się przez Prezydenta Bytomia w całości odszkodowania za nieruchomość gminną, która stała się własnością Województwa Śląskiego z przeznaczeniem na realizację inwestycji drogowej pod nazwą: „Przebudowa skrzyżowania ulic Frycza-Modrzewskiego – Zabrzańska w Bytomiu” w ramach zadania pn. „Przebudowa ulicy Frycza-Modrzewskiego w związku z planowaną przez Tramwaje Śląskie S.A. przebudową torowiska tramwajowego”</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Popiera się działania Prezydenta Bytomia zmierzające do zrealizowania uprawnień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art.12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szczególnych zasadach przygotowania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realizacji inwestycji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dróg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311), polegających na zrzeczeniu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odszkodowania należnego gminie Bytom od</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Województwa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tytułu przejęcia do zasobu nieruchomości Województwa Śląskiego, na podstawie decyzji Wojewody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nr 5/2021 (IFXIII.7820.78.2020)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zezwoleniu na realizację inwestycji drogowej pod nazwą: „Przebudowa skrzyżowania ulic Frycza-Modrzewskiego – Zabrzańska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ramach zadania pn. „Przebudowa ulicy Frycza-Modrzewskiego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planowaną przez Tramwaje Śląskie S.A. przebudową torowiska tramwajowego” za prawo własności działki gruntu nr 246/16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0,0120 ha (obręb Szombierki, k. m. 2).</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związku z decyzją Wojewody Śląskiego z dnia 12 kwietnia 2021 r. nr 5/2021 (IFXIII.7820.78.2020) o zezwoleniu na realizację inwestycji drogowej pod nazwą: „Przebudowa skrzyżowania ulic Frycza</w:t>
      </w:r>
      <w:r>
        <w:rPr>
          <w:rFonts w:eastAsia="Times New Roman" w:cs="Times New Roman"/>
          <w:szCs w:val="20"/>
        </w:rPr>
        <w:t>-</w:t>
      </w:r>
      <w:r>
        <w:rPr>
          <w:rFonts w:eastAsia="Times New Roman" w:cs="Times New Roman"/>
          <w:szCs w:val="20"/>
        </w:rPr>
        <w:t>Modrzewskiego – Zabrzańska w Bytomiu” w ramach zadania pn. „Przebudowa ulicy Frycza-Modrzewskiego w związku z planowaną przez Tramwaje Śląskie S.A. przebudową torowiska tramwajowego”</w:t>
      </w:r>
      <w:r>
        <w:rPr>
          <w:rFonts w:eastAsia="Times New Roman" w:cs="Times New Roman"/>
          <w:szCs w:val="20"/>
        </w:rPr>
        <w:t>, gminie Bytom należy się odszkodowanie.</w:t>
      </w:r>
      <w:r>
        <w:rPr>
          <w:rFonts w:eastAsia="Times New Roman" w:cs="Times New Roman"/>
          <w:szCs w:val="20"/>
        </w:rPr>
        <w:t xml:space="preserve"> Jest ono należne, gdyż na podstawie wymienionej decyzji prawo własności  nieruchomości należących do gminy, a przeznaczonych pod budowę dróg, przenoszone jest z gminy na rzecz Województwa Śląskiego w formie wywłaszczenia.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sytuacji, gdy wywłaszczona nieruchomość przeznaczona jest pod budowę wojewódzkiej drogi publicznej,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w:t>
      </w:r>
      <w:r>
        <w:rPr>
          <w:rFonts w:eastAsia="Times New Roman" w:cs="Times New Roman"/>
          <w:szCs w:val="20"/>
        </w:rPr>
        <w:t>,</w:t>
      </w:r>
      <w:r>
        <w:rPr>
          <w:rFonts w:eastAsia="Times New Roman" w:cs="Times New Roman"/>
          <w:szCs w:val="20"/>
        </w:rPr>
        <w:t xml:space="preserve"> nie uzyskując dochodów za wywłaszczoną nieruchomość. Dlatego</w:t>
      </w:r>
      <w:r>
        <w:rPr>
          <w:rFonts w:eastAsia="Times New Roman" w:cs="Times New Roman"/>
          <w:szCs w:val="20"/>
        </w:rPr>
        <w:t>,</w:t>
      </w:r>
      <w:r>
        <w:rPr>
          <w:rFonts w:eastAsia="Times New Roman" w:cs="Times New Roman"/>
          <w:szCs w:val="20"/>
        </w:rPr>
        <w:t xml:space="preserve">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w tym przypadku Województwa Śląskiego,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939F3B54-5F83-43DC-93C0-1300BE26FF41.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939F3B54-5F83-43DC-93C0-1300BE26FF41.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XIV/113/25 z dnia 10 lutego 2025 r.</dc:title>
  <dc:subject>w sprawie poparcia działań zmierzających do zrzeczenia się przez Prezydenta Bytomia w^całości odszkodowania za nieruchomość gminną, która stała się własnością Województwa Śląskiego z^przeznaczeniem na realizację inwestycji drogowej pod^nazwą: „Przebudowa skrzyżowania ulic Frycza-Modrzewskiego – Zabrzańska w^Bytomiu” w^ramach zadania pn. „Przebudowa ulicy Frycza-Modrzewskiego w^związku z^planowaną przez Tramwaje Śląskie S.A. przebudową torowiska tramwajowego”</dc:subject>
  <dc:creator>asteuer</dc:creator>
  <cp:lastModifiedBy>asteuer</cp:lastModifiedBy>
  <cp:revision>1</cp:revision>
  <dcterms:created xsi:type="dcterms:W3CDTF">2025-02-17T11:48:44Z</dcterms:created>
  <dcterms:modified xsi:type="dcterms:W3CDTF">2025-02-17T11:48:44Z</dcterms:modified>
  <cp:category>Akt prawny</cp:category>
</cp:coreProperties>
</file>