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6BB" w:rsidRDefault="00906DC6">
      <w:pPr>
        <w:pStyle w:val="Header"/>
        <w:tabs>
          <w:tab w:val="left" w:pos="6480"/>
        </w:tabs>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2366BB" w:rsidRDefault="00906DC6">
      <w:pPr>
        <w:pStyle w:val="Header"/>
        <w:tabs>
          <w:tab w:val="left" w:pos="6480"/>
        </w:tabs>
        <w:jc w:val="center"/>
      </w:pPr>
      <w:r>
        <w:rPr>
          <w:rFonts w:ascii="Arial" w:hAnsi="Arial" w:cs="Arial"/>
          <w:b/>
          <w:bCs/>
          <w:color w:val="000000"/>
          <w:sz w:val="18"/>
          <w:lang w:val="de-DE"/>
        </w:rPr>
        <w:t>tel. 32 7868163,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xml:space="preserve">: </w:t>
      </w:r>
      <w:hyperlink r:id="rId8">
        <w:r>
          <w:rPr>
            <w:rStyle w:val="czeinternetowe"/>
            <w:rFonts w:ascii="Arial" w:hAnsi="Arial" w:cs="Arial"/>
            <w:b/>
            <w:bCs/>
            <w:sz w:val="18"/>
            <w:lang w:val="de-DE"/>
          </w:rPr>
          <w:t>rada.miejska@um.bytom.pl</w:t>
        </w:r>
      </w:hyperlink>
    </w:p>
    <w:p w:rsidR="002366BB" w:rsidRDefault="002366BB">
      <w:pPr>
        <w:pStyle w:val="Header"/>
        <w:tabs>
          <w:tab w:val="left" w:pos="6480"/>
        </w:tabs>
        <w:jc w:val="center"/>
        <w:rPr>
          <w:rFonts w:ascii="Arial" w:hAnsi="Arial" w:cs="Arial"/>
          <w:b/>
          <w:bCs/>
          <w:color w:val="000000"/>
          <w:sz w:val="18"/>
          <w:lang w:val="de-DE"/>
        </w:rPr>
      </w:pPr>
    </w:p>
    <w:p w:rsidR="002366BB" w:rsidRDefault="00906DC6">
      <w:pPr>
        <w:pStyle w:val="Header"/>
        <w:tabs>
          <w:tab w:val="left" w:pos="6480"/>
        </w:tabs>
        <w:spacing w:after="120"/>
        <w:rPr>
          <w:rFonts w:ascii="Arial" w:hAnsi="Arial" w:cs="Arial"/>
          <w:bCs/>
        </w:rPr>
      </w:pPr>
      <w:r>
        <w:rPr>
          <w:rFonts w:ascii="Arial" w:hAnsi="Arial" w:cs="Arial"/>
          <w:bCs/>
          <w:color w:val="000000"/>
          <w:lang w:val="de-DE"/>
        </w:rPr>
        <w:t>PR.KEK.0012.8.2024</w:t>
      </w:r>
    </w:p>
    <w:p w:rsidR="002366BB" w:rsidRDefault="00906DC6">
      <w:pPr>
        <w:pStyle w:val="Tytu1"/>
        <w:spacing w:after="0"/>
        <w:rPr>
          <w:rFonts w:ascii="Arial" w:hAnsi="Arial" w:cs="Arial"/>
        </w:rPr>
      </w:pPr>
      <w:r>
        <w:rPr>
          <w:rFonts w:ascii="Arial" w:hAnsi="Arial" w:cs="Arial"/>
          <w:bCs/>
          <w:szCs w:val="24"/>
        </w:rPr>
        <w:t>PROTOKÓŁ nr 8.2024</w:t>
      </w:r>
    </w:p>
    <w:p w:rsidR="002366BB" w:rsidRDefault="00906DC6">
      <w:pPr>
        <w:pStyle w:val="Tytu1"/>
        <w:spacing w:after="0"/>
        <w:rPr>
          <w:rFonts w:ascii="Arial" w:hAnsi="Arial" w:cs="Arial"/>
        </w:rPr>
      </w:pPr>
      <w:r>
        <w:rPr>
          <w:rFonts w:ascii="Arial" w:hAnsi="Arial" w:cs="Arial"/>
        </w:rPr>
        <w:t>z posiedzenia Komisji Edukacji, Kultury, Sportu i Rekreacji</w:t>
      </w:r>
    </w:p>
    <w:p w:rsidR="002366BB" w:rsidRDefault="00906DC6">
      <w:pPr>
        <w:pStyle w:val="Tytu1"/>
        <w:spacing w:after="0"/>
        <w:rPr>
          <w:rFonts w:ascii="Arial" w:hAnsi="Arial" w:cs="Arial"/>
        </w:rPr>
      </w:pPr>
      <w:r>
        <w:rPr>
          <w:rFonts w:ascii="Arial" w:hAnsi="Arial" w:cs="Arial"/>
        </w:rPr>
        <w:t>Rady Miejskiej w Bytomiu</w:t>
      </w:r>
    </w:p>
    <w:p w:rsidR="002366BB" w:rsidRDefault="00906DC6">
      <w:pPr>
        <w:pStyle w:val="Tytu1"/>
        <w:spacing w:after="0"/>
        <w:rPr>
          <w:rFonts w:ascii="Arial" w:hAnsi="Arial" w:cs="Arial"/>
        </w:rPr>
      </w:pPr>
      <w:r>
        <w:rPr>
          <w:rFonts w:ascii="Arial" w:hAnsi="Arial" w:cs="Arial"/>
        </w:rPr>
        <w:t>w dniu 9 grudnia 2024 roku</w:t>
      </w:r>
    </w:p>
    <w:p w:rsidR="002366BB" w:rsidRDefault="002366BB">
      <w:pPr>
        <w:pStyle w:val="Tytu1"/>
        <w:spacing w:after="0" w:line="360" w:lineRule="auto"/>
        <w:rPr>
          <w:rFonts w:ascii="Arial" w:hAnsi="Arial" w:cs="Arial"/>
          <w:b w:val="0"/>
          <w:bCs/>
        </w:rPr>
      </w:pPr>
    </w:p>
    <w:p w:rsidR="002366BB" w:rsidRDefault="00906DC6">
      <w:pPr>
        <w:spacing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2366BB" w:rsidRDefault="00906DC6">
      <w:pPr>
        <w:spacing w:line="360" w:lineRule="auto"/>
        <w:rPr>
          <w:rFonts w:ascii="Arial" w:hAnsi="Arial" w:cs="Arial"/>
          <w:bCs/>
        </w:rPr>
      </w:pPr>
      <w:r>
        <w:rPr>
          <w:rFonts w:ascii="Arial" w:hAnsi="Arial" w:cs="Arial"/>
          <w:bCs/>
        </w:rPr>
        <w:t xml:space="preserve">Pismo do Prezydenta Miasta z prośbą w sprawie oddelegowania osób na posiedzenie – zał. nr 2. </w:t>
      </w:r>
    </w:p>
    <w:p w:rsidR="002366BB" w:rsidRDefault="00906DC6">
      <w:pPr>
        <w:spacing w:line="360" w:lineRule="auto"/>
        <w:rPr>
          <w:rFonts w:ascii="Arial" w:hAnsi="Arial" w:cs="Arial"/>
          <w:bCs/>
        </w:rPr>
      </w:pPr>
      <w:r>
        <w:rPr>
          <w:rFonts w:ascii="Arial" w:hAnsi="Arial" w:cs="Arial"/>
          <w:bCs/>
        </w:rPr>
        <w:t xml:space="preserve">Pismo do Prezydenta Miasta z prośbą w sprawie oddelegowania osób na posiedzenie – zał. nr 3. </w:t>
      </w:r>
    </w:p>
    <w:p w:rsidR="002366BB" w:rsidRDefault="002366BB">
      <w:pPr>
        <w:spacing w:line="360" w:lineRule="auto"/>
        <w:rPr>
          <w:rFonts w:ascii="Arial" w:hAnsi="Arial" w:cs="Arial"/>
          <w:bCs/>
        </w:rPr>
      </w:pPr>
    </w:p>
    <w:p w:rsidR="002366BB" w:rsidRDefault="00906DC6">
      <w:pPr>
        <w:pStyle w:val="Akapitzlist"/>
        <w:numPr>
          <w:ilvl w:val="0"/>
          <w:numId w:val="1"/>
        </w:numPr>
        <w:spacing w:line="360" w:lineRule="auto"/>
        <w:rPr>
          <w:rFonts w:ascii="Arial" w:hAnsi="Arial" w:cs="Arial"/>
          <w:b/>
          <w:bCs/>
        </w:rPr>
      </w:pPr>
      <w:r>
        <w:rPr>
          <w:rFonts w:ascii="Arial" w:hAnsi="Arial" w:cs="Arial"/>
          <w:b/>
          <w:bCs/>
        </w:rPr>
        <w:t>Otwarcie posiedzenia i przedstawienie porządku obrad.</w:t>
      </w:r>
    </w:p>
    <w:p w:rsidR="002366BB" w:rsidRDefault="00906DC6">
      <w:pPr>
        <w:pStyle w:val="Akapitzlist"/>
        <w:numPr>
          <w:ilvl w:val="0"/>
          <w:numId w:val="1"/>
        </w:numPr>
        <w:spacing w:line="360" w:lineRule="auto"/>
        <w:rPr>
          <w:rFonts w:ascii="Arial" w:hAnsi="Arial" w:cs="Arial"/>
          <w:b/>
          <w:bCs/>
        </w:rPr>
      </w:pPr>
      <w:r>
        <w:rPr>
          <w:rFonts w:ascii="Arial" w:hAnsi="Arial" w:cs="Arial"/>
          <w:b/>
          <w:bCs/>
        </w:rPr>
        <w:t>Wnioski do porządku obrad.</w:t>
      </w:r>
    </w:p>
    <w:p w:rsidR="002366BB" w:rsidRDefault="00906DC6">
      <w:pPr>
        <w:pStyle w:val="Akapitzlist"/>
        <w:numPr>
          <w:ilvl w:val="0"/>
          <w:numId w:val="1"/>
        </w:numPr>
        <w:spacing w:line="360" w:lineRule="auto"/>
        <w:rPr>
          <w:rFonts w:ascii="Arial" w:hAnsi="Arial" w:cs="Arial"/>
          <w:b/>
          <w:bCs/>
        </w:rPr>
      </w:pPr>
      <w:r>
        <w:rPr>
          <w:rFonts w:ascii="Arial" w:hAnsi="Arial" w:cs="Arial"/>
          <w:b/>
          <w:bCs/>
        </w:rPr>
        <w:t>Zaopiniowanie projektów uchwał.</w:t>
      </w:r>
    </w:p>
    <w:p w:rsidR="002366BB" w:rsidRDefault="00906DC6">
      <w:pPr>
        <w:pStyle w:val="Akapitzlist"/>
        <w:numPr>
          <w:ilvl w:val="0"/>
          <w:numId w:val="1"/>
        </w:numPr>
        <w:spacing w:line="360" w:lineRule="auto"/>
        <w:rPr>
          <w:rFonts w:ascii="Arial" w:hAnsi="Arial" w:cs="Arial"/>
          <w:b/>
          <w:bCs/>
        </w:rPr>
      </w:pPr>
      <w:r>
        <w:rPr>
          <w:rFonts w:ascii="Arial" w:hAnsi="Arial" w:cs="Arial"/>
          <w:b/>
          <w:bCs/>
        </w:rPr>
        <w:t>Sprawy bieżące, sprawy organizacyjne.</w:t>
      </w:r>
    </w:p>
    <w:p w:rsidR="002366BB" w:rsidRDefault="00906DC6">
      <w:pPr>
        <w:pStyle w:val="Akapitzlist"/>
        <w:numPr>
          <w:ilvl w:val="0"/>
          <w:numId w:val="1"/>
        </w:numPr>
        <w:spacing w:line="360" w:lineRule="auto"/>
        <w:rPr>
          <w:rFonts w:ascii="Arial" w:hAnsi="Arial" w:cs="Arial"/>
          <w:b/>
          <w:bCs/>
        </w:rPr>
      </w:pPr>
      <w:r>
        <w:rPr>
          <w:rFonts w:ascii="Arial" w:hAnsi="Arial" w:cs="Arial"/>
          <w:b/>
          <w:bCs/>
        </w:rPr>
        <w:t>Zakończenie posiedzenia.</w:t>
      </w:r>
    </w:p>
    <w:p w:rsidR="002366BB" w:rsidRDefault="002366BB">
      <w:pPr>
        <w:pStyle w:val="Akapitzlist"/>
        <w:spacing w:line="360" w:lineRule="auto"/>
        <w:rPr>
          <w:rFonts w:ascii="Arial" w:hAnsi="Arial" w:cs="Arial"/>
          <w:bCs/>
        </w:rPr>
      </w:pPr>
    </w:p>
    <w:p w:rsidR="002366BB" w:rsidRDefault="00906DC6">
      <w:pPr>
        <w:spacing w:line="360" w:lineRule="auto"/>
        <w:rPr>
          <w:rFonts w:ascii="Arial" w:hAnsi="Arial" w:cs="Arial"/>
        </w:rPr>
      </w:pPr>
      <w:r>
        <w:rPr>
          <w:rFonts w:ascii="Arial" w:hAnsi="Arial" w:cs="Arial"/>
          <w:b/>
        </w:rPr>
        <w:t>Ad. 1.</w:t>
      </w:r>
      <w:r>
        <w:rPr>
          <w:rFonts w:ascii="Arial" w:hAnsi="Arial" w:cs="Arial"/>
        </w:rPr>
        <w:t xml:space="preserve"> </w:t>
      </w:r>
      <w:r>
        <w:rPr>
          <w:rFonts w:ascii="Arial" w:hAnsi="Arial" w:cs="Arial"/>
          <w:b/>
        </w:rPr>
        <w:t xml:space="preserve">Otwarcie </w:t>
      </w:r>
      <w:r>
        <w:rPr>
          <w:rFonts w:ascii="Arial" w:hAnsi="Arial" w:cs="Arial"/>
          <w:b/>
          <w:bCs/>
        </w:rPr>
        <w:t>posiedzenia i przedstawienie porządku obrad.</w:t>
      </w:r>
    </w:p>
    <w:p w:rsidR="002366BB" w:rsidRDefault="00906DC6">
      <w:pPr>
        <w:spacing w:line="360" w:lineRule="auto"/>
        <w:rPr>
          <w:rFonts w:ascii="Arial" w:hAnsi="Arial" w:cs="Arial"/>
        </w:rPr>
      </w:pPr>
      <w:r>
        <w:rPr>
          <w:rFonts w:ascii="Arial" w:hAnsi="Arial" w:cs="Arial"/>
        </w:rPr>
        <w:t>Posiedzenie otworzyła o godz. 13:00 radna Iwona Pakosz, przewodnicząca komisji, która na podstawie listy obecności stwierdziła prawomocność obrad komisji. Przewodnicząca komisji przedstawiła porządek obrad.</w:t>
      </w:r>
    </w:p>
    <w:p w:rsidR="002366BB" w:rsidRDefault="00906DC6">
      <w:pPr>
        <w:spacing w:line="360" w:lineRule="auto"/>
        <w:rPr>
          <w:rFonts w:ascii="Arial" w:hAnsi="Arial" w:cs="Arial"/>
          <w:b/>
        </w:rPr>
      </w:pPr>
      <w:r>
        <w:rPr>
          <w:rFonts w:ascii="Arial" w:hAnsi="Arial" w:cs="Arial"/>
          <w:b/>
        </w:rPr>
        <w:t xml:space="preserve">Ad. 2. Wnioski </w:t>
      </w:r>
      <w:r>
        <w:rPr>
          <w:rFonts w:ascii="Arial" w:hAnsi="Arial" w:cs="Arial"/>
          <w:b/>
          <w:bCs/>
        </w:rPr>
        <w:t>do porządku obrad.</w:t>
      </w:r>
    </w:p>
    <w:p w:rsidR="002366BB" w:rsidRDefault="00906DC6">
      <w:pPr>
        <w:spacing w:line="360" w:lineRule="auto"/>
        <w:rPr>
          <w:rFonts w:ascii="Arial" w:hAnsi="Arial" w:cs="Arial"/>
        </w:rPr>
      </w:pPr>
      <w:r>
        <w:rPr>
          <w:rFonts w:ascii="Arial" w:hAnsi="Arial" w:cs="Arial"/>
        </w:rPr>
        <w:t>Wniosków do porządku obrad nie zgłoszono.</w:t>
      </w:r>
    </w:p>
    <w:p w:rsidR="002366BB" w:rsidRDefault="00906DC6">
      <w:pPr>
        <w:pStyle w:val="Default"/>
        <w:spacing w:line="360" w:lineRule="auto"/>
        <w:rPr>
          <w:b/>
        </w:rPr>
      </w:pPr>
      <w:r>
        <w:rPr>
          <w:b/>
        </w:rPr>
        <w:t>Ad. 3. Zaopiniowanie projektów uchwał</w:t>
      </w:r>
    </w:p>
    <w:p w:rsidR="002366BB" w:rsidRDefault="00906DC6">
      <w:pPr>
        <w:pStyle w:val="Default"/>
        <w:numPr>
          <w:ilvl w:val="0"/>
          <w:numId w:val="2"/>
        </w:numPr>
        <w:spacing w:line="360" w:lineRule="auto"/>
        <w:rPr>
          <w:b/>
          <w:bCs/>
          <w:szCs w:val="22"/>
        </w:rPr>
      </w:pPr>
      <w:r>
        <w:rPr>
          <w:b/>
          <w:bCs/>
          <w:szCs w:val="22"/>
        </w:rPr>
        <w:t>w sprawie wieloletniej prognozy finansowej miasta Bytomia na lata 2025-2046 (R-90)</w:t>
      </w:r>
    </w:p>
    <w:p w:rsidR="002366BB" w:rsidRDefault="00906DC6">
      <w:pPr>
        <w:pStyle w:val="Default"/>
        <w:numPr>
          <w:ilvl w:val="0"/>
          <w:numId w:val="2"/>
        </w:numPr>
        <w:spacing w:line="360" w:lineRule="auto"/>
        <w:rPr>
          <w:b/>
          <w:bCs/>
          <w:szCs w:val="22"/>
        </w:rPr>
      </w:pPr>
      <w:r>
        <w:rPr>
          <w:b/>
        </w:rPr>
        <w:t xml:space="preserve">w sprawie </w:t>
      </w:r>
      <w:r>
        <w:rPr>
          <w:b/>
          <w:bCs/>
          <w:szCs w:val="22"/>
        </w:rPr>
        <w:t>uchwały budżetowej miasta Bytomia na 2025 rok (R-91)</w:t>
      </w:r>
    </w:p>
    <w:p w:rsidR="002366BB" w:rsidRDefault="00906DC6">
      <w:pPr>
        <w:pStyle w:val="Default"/>
        <w:spacing w:line="360" w:lineRule="auto"/>
        <w:rPr>
          <w:bCs/>
          <w:szCs w:val="22"/>
        </w:rPr>
      </w:pPr>
      <w:r>
        <w:rPr>
          <w:bCs/>
          <w:szCs w:val="22"/>
        </w:rPr>
        <w:t xml:space="preserve">Pani Ewa Tomczak, Skarbnik Miasta, poprosiła o możliwość omówienia obu projektów uchwał jednocześnie. Przewodnicząca wyraziła zgodę. </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lastRenderedPageBreak/>
        <w:t xml:space="preserve">Pani Ewa Tomczak Skarbnik Miasta i pani Anna Tkaczyk naczelnik Wydziału Finansowego </w:t>
      </w:r>
      <w:r>
        <w:rPr>
          <w:rFonts w:ascii="Arial" w:hAnsi="Arial" w:cs="Arial"/>
        </w:rPr>
        <w:t xml:space="preserve">przedstawiły wraz z uzasadnieniem projekt uchwały </w:t>
      </w:r>
      <w:r>
        <w:rPr>
          <w:rFonts w:ascii="Arial" w:hAnsi="Arial" w:cs="Arial"/>
          <w:bCs/>
        </w:rPr>
        <w:t xml:space="preserve">w sprawie </w:t>
      </w:r>
      <w:r>
        <w:rPr>
          <w:rFonts w:ascii="Arial" w:hAnsi="Arial" w:cs="Arial"/>
          <w:bCs/>
          <w:szCs w:val="22"/>
        </w:rPr>
        <w:t xml:space="preserve">uchwały budżetowej miasta Bytomia na 2025 rok (R-91) oraz </w:t>
      </w:r>
      <w:r>
        <w:rPr>
          <w:rFonts w:ascii="Arial" w:hAnsi="Arial" w:cs="Arial"/>
        </w:rPr>
        <w:t xml:space="preserve">projekt uchwały w sprawie </w:t>
      </w:r>
      <w:r>
        <w:rPr>
          <w:rFonts w:ascii="Arial" w:hAnsi="Arial" w:cs="Arial"/>
          <w:bCs/>
          <w:szCs w:val="22"/>
        </w:rPr>
        <w:t>wieloletniej prognozy finansowej miasta Bytomia na lata 2025-2046 (R-90).</w:t>
      </w:r>
    </w:p>
    <w:p w:rsidR="002366BB" w:rsidRDefault="002366BB">
      <w:pPr>
        <w:spacing w:line="360" w:lineRule="auto"/>
        <w:rPr>
          <w:rFonts w:ascii="Arial" w:hAnsi="Arial" w:cs="Arial"/>
          <w:bCs/>
          <w:color w:val="FF0000"/>
          <w:szCs w:val="22"/>
        </w:rPr>
      </w:pPr>
    </w:p>
    <w:p w:rsidR="002366BB" w:rsidRDefault="00906DC6">
      <w:pPr>
        <w:spacing w:line="360" w:lineRule="auto"/>
        <w:rPr>
          <w:rFonts w:ascii="Arial" w:hAnsi="Arial" w:cs="Arial"/>
          <w:bCs/>
          <w:szCs w:val="22"/>
        </w:rPr>
      </w:pPr>
      <w:r>
        <w:rPr>
          <w:rFonts w:ascii="Arial" w:hAnsi="Arial" w:cs="Arial"/>
          <w:bCs/>
          <w:szCs w:val="22"/>
        </w:rPr>
        <w:t>Pani Anna Tkaczyk, naczelnik Wydziału Finansowego, podała kwoty planowanych dochodów i wydatków oświatowych oraz dochodów i wydatków z zakresu kultury i dziedzictwa narodowego oraz kultury fizycznej.</w:t>
      </w:r>
    </w:p>
    <w:p w:rsidR="002366BB" w:rsidRDefault="002366BB">
      <w:pPr>
        <w:spacing w:line="360" w:lineRule="auto"/>
        <w:rPr>
          <w:rFonts w:ascii="Arial" w:hAnsi="Arial" w:cs="Arial"/>
          <w:bCs/>
          <w:szCs w:val="22"/>
          <w:u w:val="single"/>
        </w:rPr>
      </w:pPr>
    </w:p>
    <w:p w:rsidR="002366BB" w:rsidRDefault="00906DC6">
      <w:pPr>
        <w:spacing w:line="360" w:lineRule="auto"/>
      </w:pPr>
      <w:r>
        <w:rPr>
          <w:rFonts w:ascii="Arial" w:hAnsi="Arial" w:cs="Arial"/>
          <w:bCs/>
          <w:szCs w:val="22"/>
        </w:rPr>
        <w:t>Pani Ewa Tomczak, Skarbnik Miasta, przedstawiła założenia nowego sposobu finansowania dochodów jednostek samorządu terytorialnego. Szczegółowe wyliczenia zawarto w części opisowej do wieloletniej prognozy finansowej. Przepisy wymagają, by szczegółowość wieloletnich prognoz finansowych była określana na rok budżetowy oraz 3 kolejne lata. Prognoza bytomska została określona do 2046 </w:t>
      </w:r>
      <w:r>
        <w:rPr>
          <w:rFonts w:ascii="Arial" w:hAnsi="Arial" w:cs="Arial"/>
        </w:rPr>
        <w:t>r., czyli na pełny okres spłaty zadłużenia. Oprócz założeń ustawowych w wyliczeniach oparto się również na wytycznych Ministra Finansów do stosowania jednolitych wskaźników, analogicznych do wskaźników stosowanych przy konstruowaniu budżetu państwa. Ponadto sposób wyliczeń opiera się na wyliczeniach w ramach tej samej kategorii jednostki samorządu terytorialnego, czyli w przypadku Bytomia dla miast na prawach powiatu. Niestety udział Bytomia w dochodach jako miasta na prawach powiatu jest niższy od dotychczasowej sumy udziałów w dochodach części gminnej i powiatowej. Pani Ewa Tomczak zwróciła uwagę, że zlikwidowano subwencję oświatową i dotację na przedszkola, w miejsce których pojawiła się kategoria potrzeb oświatowych, wyliczana w podobny sposób, w jaki dotychczas wyliczano subwencję oświatową. Pani Ewa Tomczak podała kwotę potrzeb oświatowych wyliczoną dla Bytomia w wysokości 358 341 565 zł oraz kwotę wydatków w ramach działu 801 i 854 wynoszącą 486 127 958 zł. Podobnie niewystarczająca jest dotacja na przedszkola, która po włączeniu jej do kategorii potrzeb oświatowych, została określona na poziomie 2022 r. Pani Ewa Tomczak poinformowała, że zaplanowano przeprowadzenie rewizji ustawy o dochodach jednostek samorządu terytorialnego po roku obowiązywania, natomiast sama ustawa zawiera mechanizmy korygujące, które określają, że jeśli w trakcie roku budżetowego potrzeby okażą się wyższe lub niższe od wyliczonych, nastąpi ich korekta.</w:t>
      </w:r>
    </w:p>
    <w:p w:rsidR="002366BB" w:rsidRDefault="002366BB">
      <w:pPr>
        <w:spacing w:line="360" w:lineRule="auto"/>
        <w:rPr>
          <w:rFonts w:ascii="Arial" w:hAnsi="Arial" w:cs="Arial"/>
          <w:bCs/>
          <w:szCs w:val="22"/>
          <w:u w:val="single"/>
        </w:rPr>
      </w:pPr>
    </w:p>
    <w:p w:rsidR="002366BB" w:rsidRDefault="00906DC6">
      <w:pPr>
        <w:spacing w:line="360" w:lineRule="auto"/>
        <w:rPr>
          <w:rFonts w:ascii="Arial" w:hAnsi="Arial" w:cs="Arial"/>
        </w:rPr>
      </w:pPr>
      <w:r>
        <w:rPr>
          <w:rFonts w:ascii="Arial" w:hAnsi="Arial" w:cs="Arial"/>
        </w:rPr>
        <w:lastRenderedPageBreak/>
        <w:t>Radna Iwona Pakosz zwróciła uwagę, że już na początku 2025 r. jest wiadome, że wyliczona kwota potrzeb oświatowych nie pokryje zaplanowanych wydatków.</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rPr>
      </w:pPr>
      <w:r>
        <w:rPr>
          <w:rFonts w:ascii="Arial" w:hAnsi="Arial" w:cs="Arial"/>
          <w:bCs/>
          <w:szCs w:val="22"/>
        </w:rPr>
        <w:t xml:space="preserve">Pani Ewa Tomczak Skarbnik Miasta powtórzyła, że po roku obowiązywania planowana jest rewizja </w:t>
      </w:r>
      <w:r>
        <w:rPr>
          <w:rFonts w:ascii="Arial" w:hAnsi="Arial" w:cs="Arial"/>
        </w:rPr>
        <w:t>ustawy o dochodach jednostek samorządu terytorialnego, ale nikt nie wie, na czym będzie ona polegała. Do końca marca 2025 r. ma się ukonstytuować komisja wspólna rządu i samorządu, która ma się przyjrzeć realizacji zapisów ustawowych i możliwości podziału zaplanowanej rezerwy budżetu państwa dla miast, których potrzeby są wyższe niż przyrost udziałów w podatku dochodowym od osób fizycznych i prawnych względem dotychczasowych przepisów. Bytom nie ma zamożnego społeczeństwa i ze względu na lukę w zakresie potrzeb oświatowych przysługuje miastu subwencja ogólna w kwocie 128 296 685 zł. Pani Ewa Tomczak dodała, że dotychczas subwencja oświatowa na potrzeby wypłat dla nauczycieli w styczniu kolejnego roku wpływała na rachunek miasta w grudniu roku poprzedniego, do 10 dnia każdego miesiąca wpływały udziały w podatku dochodowym od osób fizycznych i prawnych, natomiast w styczniu wpływały dochody transferowe z tytułu subwencji wyrównawczej, rozwojowej i równoważącej oraz kolejna transza subwencji oświatowej. Według nowych przepisów udziały w podatku dochodowym od osób fizycznych i prawnych wpłyną do 25 grudnia br., a subwencja ogólna w wysokości 1/12 zostanie przekazana do 5 stycznia 2025 r. Miasto wystąpiło z wnioskiem o przyspieszenie wypłaty subwencji, gdyż wynagrodzenia nauczycieli są płacone na początku miesiąca, tj. 2 stycznia 2025 r. Kolejne wynagrodzenia są płacone 5 i 10 dnia miesiąca oraz podatek dochodowy ponoszony przez pracodawcę – 25 dnia miesiąca. Miesięczny koszt wynagrodzeń to kwota prawie 50 mln zł. W styczniu 2025 r. zmienia się również ustawa o podatku od nieruchomości, gdyż w przypadku osób prawnych zmienia się definicja budowli, garaży oraz sposób składania deklaracji podatkowych. Może to wprowadzić chaos ze względu na zbyt krótki czas pozostający dla poinformowania o tych zmianach oraz niższe wpływy z tego źródła w styczniu 2025 r.</w:t>
      </w:r>
    </w:p>
    <w:p w:rsidR="002366BB" w:rsidRDefault="002366BB">
      <w:pPr>
        <w:spacing w:line="360" w:lineRule="auto"/>
        <w:rPr>
          <w:rFonts w:ascii="Arial" w:hAnsi="Arial" w:cs="Arial"/>
          <w:bCs/>
          <w:szCs w:val="22"/>
          <w:u w:val="single"/>
        </w:rPr>
      </w:pPr>
    </w:p>
    <w:p w:rsidR="002366BB" w:rsidRDefault="00906DC6">
      <w:pPr>
        <w:spacing w:line="360" w:lineRule="auto"/>
        <w:rPr>
          <w:rFonts w:ascii="Arial" w:hAnsi="Arial" w:cs="Arial"/>
          <w:bCs/>
          <w:szCs w:val="22"/>
        </w:rPr>
      </w:pPr>
      <w:r>
        <w:rPr>
          <w:rFonts w:ascii="Arial" w:hAnsi="Arial" w:cs="Arial"/>
          <w:bCs/>
          <w:szCs w:val="22"/>
        </w:rPr>
        <w:t>Radna Joanna Stępień prosiła o doprecyzowanie, które subwencje i dotacje zostały zlikwidowane oraz o podanie podstawy wyliczenia potrzeb oświatowych.</w:t>
      </w:r>
    </w:p>
    <w:p w:rsidR="002366BB" w:rsidRDefault="002366BB">
      <w:pPr>
        <w:spacing w:line="360" w:lineRule="auto"/>
        <w:rPr>
          <w:rFonts w:ascii="Arial" w:hAnsi="Arial" w:cs="Arial"/>
          <w:bCs/>
          <w:szCs w:val="22"/>
          <w:u w:val="single"/>
        </w:rPr>
      </w:pPr>
    </w:p>
    <w:p w:rsidR="002366BB" w:rsidRDefault="00906DC6">
      <w:pPr>
        <w:spacing w:line="360" w:lineRule="auto"/>
      </w:pPr>
      <w:r>
        <w:rPr>
          <w:rFonts w:ascii="Arial" w:hAnsi="Arial" w:cs="Arial"/>
          <w:bCs/>
          <w:szCs w:val="22"/>
        </w:rPr>
        <w:t xml:space="preserve">Pani Ewa Tomczak Skarbnik Miasta powiedziała, że zlikwidowano wszystkie subwencje, pozostawiając jedynie subwencję ogólną oraz dotację na przedszkola w zakresie </w:t>
      </w:r>
      <w:r>
        <w:rPr>
          <w:rFonts w:ascii="Arial" w:hAnsi="Arial" w:cs="Arial"/>
          <w:bCs/>
          <w:szCs w:val="22"/>
        </w:rPr>
        <w:lastRenderedPageBreak/>
        <w:t xml:space="preserve">potrzeb oświatowych. Wszystkie informacje znajdują się w załącznikach do omawianych projektów uchwał. Podstawą wyliczenia potrzeb oświatowych jest art. 26 ustawy </w:t>
      </w:r>
      <w:r>
        <w:rPr>
          <w:rFonts w:ascii="Arial" w:hAnsi="Arial" w:cs="Arial"/>
        </w:rPr>
        <w:t xml:space="preserve">o dochodach jednostek samorządu terytorialnego. Potrzeby oświatowe na dzieci przedszkolne w wieku 2-5 lat wyliczono na 2025 r. w kwocie ok. 800 zł, przy kwocie 1600 zł obowiązującej w 2024 r. Z kolei subwencja oświatowa przysługująca na dziecko w 2024 r. wynosiła od 5 do 8 tys. zł, w przypadku dziecka z orzeczeniem o kształceniu specjalnym. Należy pamiętać o tym, że przepisy ustaw wymuszają na przedszkolach różnego rodzaju obowiązki, przykładowo: pomoc nauczyciela wspomagającego, psychologa, logopedy. Kosz realizacji tych obowiązków powoduje zwiększanie luki w zakresie wydatków bieżących w placówkach oświatowych. Najwyższa jest ona w przedszkolach i szkołach zawodowych i miasto musi dopłacać praktycznie do każdej placówki oświatowej. Sytuacja jest trudna i ogół samorządów apeluje o rewizję potrzeb oświatowych. Pani Ewa Tomczak podała wysokość dochodów z tytułu udziału w podatku dochodowym od osób fizycznych planowanych na 2025 r. wynoszącą 624 897 000 zł oraz o osób prawnych w wysokości 13 423 800 zł. Z kolei wyliczenie tych udziałów </w:t>
      </w:r>
      <w:proofErr w:type="spellStart"/>
      <w:r>
        <w:rPr>
          <w:rFonts w:ascii="Arial" w:hAnsi="Arial" w:cs="Arial"/>
        </w:rPr>
        <w:t>wg</w:t>
      </w:r>
      <w:proofErr w:type="spellEnd"/>
      <w:r>
        <w:rPr>
          <w:rFonts w:ascii="Arial" w:hAnsi="Arial" w:cs="Arial"/>
        </w:rPr>
        <w:t xml:space="preserve">. dotychczasowych przepisów, na podstawie danych stanowiących bazę za rok 2022, dałoby kwotę 278 758 000 zł. Różnica między kwotami liczonymi </w:t>
      </w:r>
      <w:proofErr w:type="spellStart"/>
      <w:r>
        <w:rPr>
          <w:rFonts w:ascii="Arial" w:hAnsi="Arial" w:cs="Arial"/>
        </w:rPr>
        <w:t>wg</w:t>
      </w:r>
      <w:proofErr w:type="spellEnd"/>
      <w:r>
        <w:rPr>
          <w:rFonts w:ascii="Arial" w:hAnsi="Arial" w:cs="Arial"/>
        </w:rPr>
        <w:t>. starych i nowych przepisów stanowi tzw. kwotę kalkulacyjną, która wynosi 359 562 000 zł. Następnym krokiem jest kalkulacja potrzeb finansowych, do których należą potrzeby: oświatowe, wyrównawcze, rozwojowe, ekonomiczne i uzupełniające. Jeśli suma tych potrzeb jest wyższa niż kwota kalkulacyjna, to jednostce samorządu terytorialnego przysługuje subwencja ogólna w kwocie stanowiącej różnicę, jeśli jest niższa wówczas jednostki samorządu terytorialnego mogą sobie zostawić wyliczoną nadwyżkę w celu realizacji innych zadań. Pozostałe nie wymienione potrzeby są finansowane m. in. z dochodów z tytułu podatków i opłat lokalnych.</w:t>
      </w:r>
    </w:p>
    <w:p w:rsidR="002366BB" w:rsidRDefault="002366BB">
      <w:pPr>
        <w:spacing w:line="360" w:lineRule="auto"/>
        <w:rPr>
          <w:rFonts w:ascii="Arial" w:hAnsi="Arial" w:cs="Arial"/>
          <w:bCs/>
          <w:szCs w:val="22"/>
          <w:u w:val="single"/>
        </w:rPr>
      </w:pPr>
    </w:p>
    <w:p w:rsidR="002366BB" w:rsidRDefault="00906DC6">
      <w:pPr>
        <w:spacing w:line="360" w:lineRule="auto"/>
      </w:pPr>
      <w:r>
        <w:rPr>
          <w:rFonts w:ascii="Arial" w:hAnsi="Arial" w:cs="Arial"/>
          <w:bCs/>
          <w:szCs w:val="22"/>
        </w:rPr>
        <w:t>Radna Joanna Stępień nawiązując do miast, których dochody z tytułu udziału w podatku dochodowym od osób fizycznych i prawnych przewyższają potrzeby, pytała o powody, dlaczego w Bytomiu potrzeby przewyższają dochody z ww. tytułu.</w:t>
      </w:r>
    </w:p>
    <w:p w:rsidR="002366BB" w:rsidRDefault="002366BB">
      <w:pPr>
        <w:spacing w:line="360" w:lineRule="auto"/>
        <w:rPr>
          <w:rFonts w:ascii="Arial" w:hAnsi="Arial" w:cs="Arial"/>
          <w:bCs/>
          <w:szCs w:val="22"/>
          <w:u w:val="single"/>
        </w:rPr>
      </w:pPr>
    </w:p>
    <w:p w:rsidR="002366BB" w:rsidRDefault="00906DC6">
      <w:pPr>
        <w:spacing w:line="360" w:lineRule="auto"/>
        <w:rPr>
          <w:rFonts w:ascii="Arial" w:hAnsi="Arial" w:cs="Arial"/>
          <w:bCs/>
          <w:szCs w:val="22"/>
          <w:u w:val="single"/>
        </w:rPr>
      </w:pPr>
      <w:r>
        <w:rPr>
          <w:rFonts w:ascii="Arial" w:hAnsi="Arial" w:cs="Arial"/>
          <w:bCs/>
          <w:szCs w:val="22"/>
        </w:rPr>
        <w:t xml:space="preserve">Pani Ewa Tomczak Skarbnik Miasta wyjaśniła, że powodem jest niska zamożność społeczeństwa w mieście oraz niż demograficzny. Podobną trudną sytuację ma większość miast na prawach powiatu. Zwykle łatwiejszą sytuację mają mniejsze powiaty i gminy, albo jednostki samorządu terytorialnego, w których funkcjonują </w:t>
      </w:r>
      <w:r>
        <w:rPr>
          <w:rFonts w:ascii="Arial" w:hAnsi="Arial" w:cs="Arial"/>
          <w:bCs/>
          <w:szCs w:val="22"/>
        </w:rPr>
        <w:lastRenderedPageBreak/>
        <w:t>niepubliczne szkoły i przedszkola, które nie są obwarowane szeregiem przepisów, jak w przypadku placówek publicznych, w których obowiązuje karta nauczyciela.</w:t>
      </w:r>
    </w:p>
    <w:p w:rsidR="002366BB" w:rsidRDefault="002366BB">
      <w:pPr>
        <w:spacing w:line="360" w:lineRule="auto"/>
        <w:rPr>
          <w:rFonts w:ascii="Arial" w:hAnsi="Arial" w:cs="Arial"/>
          <w:bCs/>
          <w:szCs w:val="22"/>
          <w:u w:val="single"/>
        </w:rPr>
      </w:pPr>
    </w:p>
    <w:p w:rsidR="002366BB" w:rsidRDefault="00906DC6">
      <w:pPr>
        <w:spacing w:line="360" w:lineRule="auto"/>
      </w:pPr>
      <w:r>
        <w:rPr>
          <w:rFonts w:ascii="Arial" w:hAnsi="Arial" w:cs="Arial"/>
          <w:bCs/>
          <w:szCs w:val="22"/>
        </w:rPr>
        <w:t xml:space="preserve">Radna Joanna Stępień pytała, jak duża będzie różnica w wysokości podatku  od nieruchomości płatnego przez osoby prawne </w:t>
      </w:r>
      <w:proofErr w:type="spellStart"/>
      <w:r>
        <w:rPr>
          <w:rFonts w:ascii="Arial" w:hAnsi="Arial" w:cs="Arial"/>
          <w:bCs/>
          <w:szCs w:val="22"/>
        </w:rPr>
        <w:t>wg</w:t>
      </w:r>
      <w:proofErr w:type="spellEnd"/>
      <w:r>
        <w:rPr>
          <w:rFonts w:ascii="Arial" w:hAnsi="Arial" w:cs="Arial"/>
          <w:bCs/>
          <w:szCs w:val="22"/>
        </w:rPr>
        <w:t>. nowych przepisów.</w:t>
      </w:r>
    </w:p>
    <w:p w:rsidR="002366BB" w:rsidRDefault="002366BB">
      <w:pPr>
        <w:spacing w:line="360" w:lineRule="auto"/>
        <w:rPr>
          <w:rFonts w:ascii="Arial" w:hAnsi="Arial" w:cs="Arial"/>
          <w:bCs/>
          <w:szCs w:val="22"/>
          <w:u w:val="single"/>
        </w:rPr>
      </w:pPr>
    </w:p>
    <w:p w:rsidR="002366BB" w:rsidRDefault="00906DC6">
      <w:pPr>
        <w:spacing w:line="360" w:lineRule="auto"/>
        <w:rPr>
          <w:rFonts w:ascii="Arial" w:hAnsi="Arial" w:cs="Arial"/>
          <w:bCs/>
          <w:szCs w:val="22"/>
        </w:rPr>
      </w:pPr>
      <w:r>
        <w:rPr>
          <w:rFonts w:ascii="Arial" w:hAnsi="Arial" w:cs="Arial"/>
          <w:bCs/>
          <w:szCs w:val="22"/>
        </w:rPr>
        <w:t xml:space="preserve">Pani Ewa Tomczak Skarbnik Miasta podkreśliła, że zmienia się definicja budowli i osoby prawne, które nie zadeklarują do końca stycznia 2025 r. chęci rewizji swoich deklaracji, mogą zapłacić podatek od nieruchomości </w:t>
      </w:r>
      <w:proofErr w:type="spellStart"/>
      <w:r>
        <w:rPr>
          <w:rFonts w:ascii="Arial" w:hAnsi="Arial" w:cs="Arial"/>
          <w:bCs/>
          <w:szCs w:val="22"/>
        </w:rPr>
        <w:t>wg</w:t>
      </w:r>
      <w:proofErr w:type="spellEnd"/>
      <w:r>
        <w:rPr>
          <w:rFonts w:ascii="Arial" w:hAnsi="Arial" w:cs="Arial"/>
          <w:bCs/>
          <w:szCs w:val="22"/>
        </w:rPr>
        <w:t>. starych przepisów. Wówczas gmina jest zmuszona wyliczyć korektę, a jeśli podmiot prany nie zareaguje, wszcząć postępowanie zgodnie z ustawą.</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t>Radny Maciej Bartków pytał, czy kwoty na oświatę, kulturę i sport zaplanowane na przyszły rok są na poziomie tegorocznych, czy są wyższe.</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t>Pani Ewa Tomczak Skarbnik Miasta poinformowała, że limity na 2025 r. są wyższe niż plan pierwotny roku poprzedniego. Natomiast przykładowo realne wydatki na oświatę we wrześniu 2024 r. w odniesieniu do września 2023 r. są o 100 mln zł wyższe oraz o 1,5 mln wyższe od potrzeb wyliczonych na 2025 r. Terminowe regulowanie zobowiązań w tej sytuacji jest bardzo trudne. Miasto wnioskowało o późniejsze wejście zapisów nowej ustawy, jednak bezskutecznie.</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t>Radna Iwona Pakosz pytała, jak miasto sobie poradzi w końcówce roku, gdy dziura w samej sferze oświatowej stale się pogłębia.</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t xml:space="preserve">Pani Ewa Tomczak Skarbnik Miasta zwróciła uwagę, że sytuacja jest trudna dla wszystkich dysponentów budżetu, nie tylko dla szkół. Miasto stara się oszczędzać, weryfikować i przesuwać płatności. W końcówce ubiegłego roku miasto otrzymało zastrzyk pieniędzy, których nie mogło już wydatkować i które powiększyły deficyt budżetowy względem planu. W grudniu br. zastrzyk pieniędzy będzie o połowę niższy, a dochody transferowe również obecnie nie będą mogły być wydatkowane w tym roku. W grudniu ubiegłego roku miasto otrzymało subwencję oświatą na poczet stycznia 2024 r. oraz w styczniu udział w podatku dochodowym od osób fizycznych i prawnych, a także subwencję wyrównawczą, rozwojowa i uzupełniającą. W tym roku do 25 grudnia </w:t>
      </w:r>
      <w:r>
        <w:rPr>
          <w:rFonts w:ascii="Arial" w:hAnsi="Arial" w:cs="Arial"/>
          <w:bCs/>
          <w:szCs w:val="22"/>
        </w:rPr>
        <w:lastRenderedPageBreak/>
        <w:t>miasto otrzyma 1/12 udziału w podatku dochodowym od osób fizycznych, a w styczniu 2025 r. 1/12 udziału w podatku dochodowym od osób prawnych oraz 1/12 subwencji ogólnej. Łącznie w styczniu do budżetu miasta wpłynie ok. 59 mln zł, natomiast same miesięczne wydatki na wynagrodzenia to ok. 49 mln zł, a łącznie z innymi płatnościami wydatki wyniosą ok. 64 ml zł.</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t>Radny Maciej Bartków pytał, czy subwencja oświatowa już wpłynęła na konto budżetu miasta oraz czy rząd będzie kontynuował realizację programów rządowych, w ramach których miasto mogło się ubiegać o dofinansowanie różnych inwestycji.</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bCs/>
          <w:szCs w:val="22"/>
        </w:rPr>
      </w:pPr>
      <w:r>
        <w:rPr>
          <w:rFonts w:ascii="Arial" w:hAnsi="Arial" w:cs="Arial"/>
          <w:bCs/>
          <w:szCs w:val="22"/>
        </w:rPr>
        <w:t>Pani Ewa Tomczak Skarbnik Miasta poinformowała, że subwencja oświatowa wpłynęła 3 grudnia br. i dodała, że nie jest właściwym adresatem pytania o programy rządowe. Obecnie funkcjonuje przykładowo fundusz dróg samorządowych, względem którego zmiany będą proponowane na najbliższej sesji.</w:t>
      </w:r>
    </w:p>
    <w:p w:rsidR="002366BB" w:rsidRDefault="002366BB">
      <w:pPr>
        <w:spacing w:line="360" w:lineRule="auto"/>
        <w:rPr>
          <w:rFonts w:ascii="Arial" w:hAnsi="Arial" w:cs="Arial"/>
          <w:bCs/>
          <w:szCs w:val="22"/>
        </w:rPr>
      </w:pPr>
    </w:p>
    <w:p w:rsidR="002366BB" w:rsidRDefault="00906DC6">
      <w:pPr>
        <w:spacing w:line="360" w:lineRule="auto"/>
        <w:rPr>
          <w:rFonts w:ascii="Arial" w:hAnsi="Arial" w:cs="Arial"/>
        </w:rPr>
      </w:pPr>
      <w:r>
        <w:rPr>
          <w:rFonts w:ascii="Arial" w:hAnsi="Arial" w:cs="Arial"/>
        </w:rPr>
        <w:t>W związku z brakiem dalszych pytań przewodnicząca komisji zamknęła dyskusję.</w:t>
      </w:r>
    </w:p>
    <w:p w:rsidR="002366BB" w:rsidRDefault="002366BB">
      <w:pPr>
        <w:spacing w:line="360" w:lineRule="auto"/>
        <w:rPr>
          <w:rFonts w:ascii="Arial" w:hAnsi="Arial" w:cs="Arial"/>
          <w:bCs/>
          <w:szCs w:val="22"/>
          <w:u w:val="single"/>
        </w:rPr>
      </w:pPr>
    </w:p>
    <w:p w:rsidR="002366BB" w:rsidRDefault="00906DC6">
      <w:pPr>
        <w:spacing w:line="360" w:lineRule="auto"/>
        <w:rPr>
          <w:rFonts w:ascii="Arial" w:hAnsi="Arial" w:cs="Arial"/>
          <w:bCs/>
          <w:szCs w:val="22"/>
        </w:rPr>
      </w:pPr>
      <w:r>
        <w:rPr>
          <w:rFonts w:ascii="Arial" w:hAnsi="Arial" w:cs="Arial"/>
        </w:rPr>
        <w:t xml:space="preserve">Komisja Edukacji, Kultury, Sportu i Rekreacji w głosowaniu: 6 za, 3 przeciw, 0 wstrzymujących się, pozytywnie zaopiniowała projekt uchwały </w:t>
      </w:r>
      <w:r>
        <w:rPr>
          <w:rFonts w:ascii="Arial" w:hAnsi="Arial" w:cs="Arial"/>
          <w:bCs/>
          <w:szCs w:val="22"/>
        </w:rPr>
        <w:t>w sprawie wieloletniej prognozy finansowej miasta Bytom na lata 2025-2046 (R-90) (sprawa PR.KEK.0014.14.2024).</w:t>
      </w:r>
    </w:p>
    <w:p w:rsidR="002366BB" w:rsidRDefault="002366BB">
      <w:pPr>
        <w:spacing w:line="360" w:lineRule="auto"/>
        <w:rPr>
          <w:rFonts w:ascii="Arial" w:hAnsi="Arial" w:cs="Arial"/>
        </w:rPr>
      </w:pPr>
    </w:p>
    <w:p w:rsidR="002366BB" w:rsidRDefault="00906DC6">
      <w:pPr>
        <w:spacing w:line="360" w:lineRule="auto"/>
        <w:rPr>
          <w:rFonts w:ascii="Arial" w:hAnsi="Arial" w:cs="Arial"/>
          <w:bCs/>
          <w:szCs w:val="22"/>
        </w:rPr>
      </w:pPr>
      <w:r>
        <w:rPr>
          <w:rFonts w:ascii="Arial" w:hAnsi="Arial" w:cs="Arial"/>
        </w:rPr>
        <w:t xml:space="preserve">Komisja Edukacji, Kultury, Sportu i Rekreacji w głosowaniu: 6 za, 3 przeciw, 0 wstrzymujących się, pozytywnie zaopiniowała projekt uchwały </w:t>
      </w:r>
      <w:r>
        <w:rPr>
          <w:rFonts w:ascii="Arial" w:hAnsi="Arial" w:cs="Arial"/>
          <w:bCs/>
          <w:szCs w:val="22"/>
        </w:rPr>
        <w:t>w sprawie uchwały budżetowej miasta Bytomia na 2025 rok (R-91) (sprawa PR.KEK.0014.14.2024).</w:t>
      </w:r>
    </w:p>
    <w:p w:rsidR="002366BB" w:rsidRDefault="00906DC6">
      <w:pPr>
        <w:spacing w:line="360" w:lineRule="auto"/>
        <w:rPr>
          <w:rFonts w:ascii="Arial" w:hAnsi="Arial" w:cs="Arial"/>
          <w:b/>
          <w:bCs/>
        </w:rPr>
      </w:pPr>
      <w:r>
        <w:rPr>
          <w:rFonts w:ascii="Arial" w:hAnsi="Arial" w:cs="Arial"/>
          <w:b/>
        </w:rPr>
        <w:t>Ad. 4.</w:t>
      </w:r>
      <w:r>
        <w:rPr>
          <w:rFonts w:ascii="Arial" w:hAnsi="Arial" w:cs="Arial"/>
        </w:rPr>
        <w:t xml:space="preserve"> </w:t>
      </w:r>
      <w:r>
        <w:rPr>
          <w:rFonts w:ascii="Arial" w:hAnsi="Arial" w:cs="Arial"/>
          <w:b/>
        </w:rPr>
        <w:t xml:space="preserve">Sprawy </w:t>
      </w:r>
      <w:r>
        <w:rPr>
          <w:rFonts w:ascii="Arial" w:hAnsi="Arial" w:cs="Arial"/>
          <w:b/>
          <w:bCs/>
        </w:rPr>
        <w:t>bieżące, sprawy organizacyjne.</w:t>
      </w:r>
    </w:p>
    <w:p w:rsidR="002366BB" w:rsidRDefault="00906DC6">
      <w:pPr>
        <w:spacing w:line="360" w:lineRule="auto"/>
        <w:rPr>
          <w:rFonts w:ascii="Arial" w:hAnsi="Arial" w:cs="Arial"/>
          <w:b/>
          <w:bCs/>
        </w:rPr>
      </w:pPr>
      <w:r>
        <w:rPr>
          <w:rFonts w:ascii="Arial" w:hAnsi="Arial" w:cs="Arial"/>
        </w:rPr>
        <w:t>Przewodnicząca zapoznała członków komisji z następującą korespondencją:</w:t>
      </w:r>
    </w:p>
    <w:p w:rsidR="002366BB" w:rsidRDefault="00906DC6">
      <w:pPr>
        <w:pStyle w:val="Tekstpodstawowy2"/>
        <w:spacing w:line="360" w:lineRule="auto"/>
        <w:jc w:val="left"/>
        <w:rPr>
          <w:rFonts w:ascii="Arial" w:hAnsi="Arial" w:cs="Arial"/>
        </w:rPr>
      </w:pPr>
      <w:r>
        <w:rPr>
          <w:rFonts w:ascii="Arial" w:hAnsi="Arial" w:cs="Arial"/>
        </w:rPr>
        <w:t>- pismem Wydziału Miejskiego Konserwatora Zabytków z dnia 27 listopada 2024 r. ze „Sprawozdaniem z Realizacji Programu Opieki nad Zabytkami Miasta Bytomia na lata  2022-2025” Etap I - lata 2022-</w:t>
      </w:r>
      <w:r w:rsidRPr="00841B2D">
        <w:rPr>
          <w:rFonts w:ascii="Arial" w:hAnsi="Arial" w:cs="Arial"/>
        </w:rPr>
        <w:t xml:space="preserve">2023 </w:t>
      </w:r>
      <w:r w:rsidR="00841B2D" w:rsidRPr="00841B2D">
        <w:rPr>
          <w:rFonts w:ascii="Arial" w:hAnsi="Arial" w:cs="Arial"/>
        </w:rPr>
        <w:t>– zał. nr 4</w:t>
      </w:r>
      <w:r w:rsidRPr="00841B2D">
        <w:rPr>
          <w:rFonts w:ascii="Arial" w:hAnsi="Arial" w:cs="Arial"/>
        </w:rPr>
        <w:t>.</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 xml:space="preserve">Pani Dominika </w:t>
      </w:r>
      <w:proofErr w:type="spellStart"/>
      <w:r>
        <w:rPr>
          <w:rFonts w:ascii="Arial" w:hAnsi="Arial" w:cs="Arial"/>
        </w:rPr>
        <w:t>Kściuczyk</w:t>
      </w:r>
      <w:proofErr w:type="spellEnd"/>
      <w:r>
        <w:rPr>
          <w:rFonts w:ascii="Arial" w:hAnsi="Arial" w:cs="Arial"/>
        </w:rPr>
        <w:t xml:space="preserve">, naczelnik Wydziału Miejskiego Konserwatora Zabytków, powiedziała, że sprawozdanie zostało przygotowane na podstawie informacji pozyskanych, m. in. z: Wydziału Architektury, Wydziału Realizacji Inwestycji i </w:t>
      </w:r>
      <w:r>
        <w:rPr>
          <w:rFonts w:ascii="Arial" w:hAnsi="Arial" w:cs="Arial"/>
        </w:rPr>
        <w:lastRenderedPageBreak/>
        <w:t>Remontów, Wydziału Kultury i Sportu, Wydziału Komunikacji Medialnej i Promocji Miasta, Wydziału Strategii, Funduszy Europejskich i Obsługi Inwestora, jednostek miejskich, zewnętrznych instytucji, kart zadań opracowanych w budżecie zadaniowym, raportu o stanie miasta i ze stron internetowych. Naczelnik poinformowała, że bardzo intensywne prace w obiektach zabytkowych były prowadzone w latach 2022-2023, ponieważ zostały uruchomione liczne programy dotacyjne, m.in.: Europejski Fundusz Rozwoju Regionalnego, Zintegrowane Inwestycje Terytorialne, Program Operacyjny Infrastruktura i Środowisko. Największą dotację pozyskano z Programu Operacyjnego Województwa Śląskiego na lata 2014-2020, dzięki niej możliwe było utworzenie Centrum Usług Społecznych oraz lokali socjalnych, wspomaganych i chronionych w Bytomiu, (Śródmieście i Rozbark) oraz przeprowadzić rewitalizację osiedla Kolonia Zgorzelec.</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pPr>
      <w:r>
        <w:rPr>
          <w:rFonts w:ascii="Arial" w:hAnsi="Arial" w:cs="Arial"/>
        </w:rPr>
        <w:t xml:space="preserve">Radna Iwona Pakosz zapytała, czy naczelnik posiada zestawienie finansowe, ile wyniosły wszystkie wykonane projekty i prace oraz ile wynosiło dofinansowanie zewnętrzne, a ile dofinansowała gmina. </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 xml:space="preserve">Pani Dominika </w:t>
      </w:r>
      <w:proofErr w:type="spellStart"/>
      <w:r>
        <w:rPr>
          <w:rFonts w:ascii="Arial" w:hAnsi="Arial" w:cs="Arial"/>
        </w:rPr>
        <w:t>Kściuczyk</w:t>
      </w:r>
      <w:proofErr w:type="spellEnd"/>
      <w:r>
        <w:rPr>
          <w:rFonts w:ascii="Arial" w:hAnsi="Arial" w:cs="Arial"/>
        </w:rPr>
        <w:t xml:space="preserve">, naczelnik Wydziału Konserwatora Zabytków, odpowiedziała, że wprawdzie w sprawozdaniu jest zestawienie tabelaryczne zawierające takie informacje, jednakże może ono być niepełne. </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 xml:space="preserve">Radny Piotr </w:t>
      </w:r>
      <w:proofErr w:type="spellStart"/>
      <w:r>
        <w:rPr>
          <w:rFonts w:ascii="Arial" w:hAnsi="Arial" w:cs="Arial"/>
        </w:rPr>
        <w:t>Patoń</w:t>
      </w:r>
      <w:proofErr w:type="spellEnd"/>
      <w:r>
        <w:rPr>
          <w:rFonts w:ascii="Arial" w:hAnsi="Arial" w:cs="Arial"/>
        </w:rPr>
        <w:t xml:space="preserve"> zwrócił uwagę, że siedziba Śląskiego Uniwersytetu Medycznego mieszcząca się w budynku na ul. Piekarskiej 18 jest zniszczona w środku, gdyż wnętrza zostały unowocześnione. Radny zaznaczył, że kamienice na ul. Piekarskiej i ul. Kwietniewskiego są w fatalnym stanie, a partery w budynkach są zabite deskami. </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 xml:space="preserve">Pani Dominika </w:t>
      </w:r>
      <w:proofErr w:type="spellStart"/>
      <w:r>
        <w:rPr>
          <w:rFonts w:ascii="Arial" w:hAnsi="Arial" w:cs="Arial"/>
        </w:rPr>
        <w:t>Kściuczyk</w:t>
      </w:r>
      <w:proofErr w:type="spellEnd"/>
      <w:r>
        <w:rPr>
          <w:rFonts w:ascii="Arial" w:hAnsi="Arial" w:cs="Arial"/>
        </w:rPr>
        <w:t xml:space="preserve"> naczelnik Wydziału Miejskiego Konserwatora Zabytków wyjaśniła, że rewitalizacja przebiega na kilku poziomach np. rewitalizacja społeczna, rewitalizacja ekonomiczna, a konserwator zabytków wykonuje prace w obiektach zabytkowych jako tzw. rewitalizację twardą. Naczelnik powiedziała, że nieużywane partery, które są zabite deskami, jest to kwestia wychodząca poza możliwości i kompetencje Miejskiego Konserwatora Zabytków. Zaistniała sytuacja poruszona przez radnego Piotra </w:t>
      </w:r>
      <w:proofErr w:type="spellStart"/>
      <w:r>
        <w:rPr>
          <w:rFonts w:ascii="Arial" w:hAnsi="Arial" w:cs="Arial"/>
        </w:rPr>
        <w:t>Patonia</w:t>
      </w:r>
      <w:proofErr w:type="spellEnd"/>
      <w:r>
        <w:rPr>
          <w:rFonts w:ascii="Arial" w:hAnsi="Arial" w:cs="Arial"/>
        </w:rPr>
        <w:t xml:space="preserve"> wiąże się z pewnym poziomem miasta. W związku z ciężką sytuacją Bytom otrzymał środki z Obszaru Strategicznej Interwencji, które mają pomóc </w:t>
      </w:r>
      <w:r>
        <w:rPr>
          <w:rFonts w:ascii="Arial" w:hAnsi="Arial" w:cs="Arial"/>
        </w:rPr>
        <w:lastRenderedPageBreak/>
        <w:t xml:space="preserve">w poprawieniu sytuacji. Naczelnik wyjaśniła, że Miejski Konserwator Zabytków ma tylko takie kompetencje, na jakie pozwala mu prawo. Powiedziała, że w przypadku obiektu na ul. Piekarskiej 18, jest to obiekt ujęty w gminnej ewidencji zabytków, chociaż </w:t>
      </w:r>
    </w:p>
    <w:p w:rsidR="002366BB" w:rsidRDefault="00906DC6">
      <w:pPr>
        <w:pStyle w:val="Tekstpodstawowy2"/>
        <w:spacing w:line="360" w:lineRule="auto"/>
        <w:jc w:val="left"/>
        <w:rPr>
          <w:rFonts w:ascii="Arial" w:hAnsi="Arial" w:cs="Arial"/>
        </w:rPr>
      </w:pPr>
      <w:r>
        <w:rPr>
          <w:rFonts w:ascii="Arial" w:hAnsi="Arial" w:cs="Arial"/>
        </w:rPr>
        <w:t xml:space="preserve">mógłby zostać wpisany do rejestru zabytków ze względu na swoje walory. Jednak zarządcy budynków nie są chętni, by ich budynki zostały wpisywane do rejestru. W przypadku prac we wnętrzu ww. budynku konserwator nie był potrzebny do uzgodnień w kwestiach remontu pomieszczeń.  </w:t>
      </w:r>
    </w:p>
    <w:p w:rsidR="002366BB" w:rsidRDefault="002366BB">
      <w:pPr>
        <w:pStyle w:val="Tekstpodstawowy2"/>
        <w:spacing w:line="360" w:lineRule="auto"/>
        <w:jc w:val="left"/>
        <w:rPr>
          <w:rFonts w:ascii="Arial" w:hAnsi="Arial" w:cs="Arial"/>
          <w:u w:val="single"/>
        </w:rPr>
      </w:pPr>
    </w:p>
    <w:p w:rsidR="002366BB" w:rsidRDefault="00906DC6">
      <w:pPr>
        <w:pStyle w:val="Tekstpodstawowy2"/>
        <w:spacing w:line="360" w:lineRule="auto"/>
        <w:jc w:val="left"/>
        <w:rPr>
          <w:rFonts w:ascii="Arial" w:hAnsi="Arial" w:cs="Arial"/>
        </w:rPr>
      </w:pPr>
      <w:r>
        <w:rPr>
          <w:rFonts w:ascii="Arial" w:hAnsi="Arial" w:cs="Arial"/>
        </w:rPr>
        <w:t xml:space="preserve">Radna Iwona Pakosz zapytała o rzeźbę smoka mieszczącą się na budynku na rogu </w:t>
      </w:r>
      <w:proofErr w:type="spellStart"/>
      <w:r>
        <w:rPr>
          <w:rFonts w:ascii="Arial" w:hAnsi="Arial" w:cs="Arial"/>
        </w:rPr>
        <w:t>ul.Piłsudskiego</w:t>
      </w:r>
      <w:proofErr w:type="spellEnd"/>
      <w:r>
        <w:rPr>
          <w:rFonts w:ascii="Arial" w:hAnsi="Arial" w:cs="Arial"/>
        </w:rPr>
        <w:t xml:space="preserve"> i ul. Drzymały, która jest w coraz gorszym stanie.</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Radna Joanna Stępień poinformowała, że planowane jest spotkanie z zarządcą budynku w sprawie ustalenia remontu części budynku, na której znajduje się figura smoka.</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pPr>
      <w:r>
        <w:rPr>
          <w:rFonts w:ascii="Arial" w:hAnsi="Arial" w:cs="Arial"/>
        </w:rPr>
        <w:t xml:space="preserve">Pani Dominika </w:t>
      </w:r>
      <w:proofErr w:type="spellStart"/>
      <w:r>
        <w:rPr>
          <w:rFonts w:ascii="Arial" w:hAnsi="Arial" w:cs="Arial"/>
        </w:rPr>
        <w:t>Kściuczyk</w:t>
      </w:r>
      <w:proofErr w:type="spellEnd"/>
      <w:r>
        <w:rPr>
          <w:rFonts w:ascii="Arial" w:hAnsi="Arial" w:cs="Arial"/>
        </w:rPr>
        <w:t>, naczelnik Wydziału Miejskiego Konserwatora Zabytków, powiedziała, że planowane jest zachęcenie wspólnoty mieszkaniowej ww. budynku, by wykonała prace na elewacji całego budynku, a gmina jeśli się uda, pomogłaby w sfinansowaniu odnowienia figury. Jednak konkretne informacje będą znane dopiero po tym, jak dojdzie do spotkania z zarządcą i wspólnotą mieszkaniową.</w:t>
      </w:r>
    </w:p>
    <w:p w:rsidR="002366BB" w:rsidRDefault="002366BB">
      <w:pPr>
        <w:pStyle w:val="Tekstpodstawowy2"/>
        <w:spacing w:line="360" w:lineRule="auto"/>
        <w:jc w:val="left"/>
        <w:rPr>
          <w:rFonts w:ascii="Arial" w:hAnsi="Arial" w:cs="Arial"/>
          <w:u w:val="single"/>
        </w:rPr>
      </w:pPr>
    </w:p>
    <w:p w:rsidR="002366BB" w:rsidRDefault="00906DC6">
      <w:pPr>
        <w:pStyle w:val="Tekstpodstawowy2"/>
        <w:spacing w:line="360" w:lineRule="auto"/>
        <w:jc w:val="left"/>
        <w:rPr>
          <w:rFonts w:ascii="Arial" w:hAnsi="Arial" w:cs="Arial"/>
        </w:rPr>
      </w:pPr>
      <w:r>
        <w:rPr>
          <w:rFonts w:ascii="Arial" w:hAnsi="Arial" w:cs="Arial"/>
        </w:rPr>
        <w:t>Radny Maciej Bartków zapytał, kto jest zarządcą wspólnoty.</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Radna Joanna Stępień odpowiedziała, że jest nim ZBM – Towarzystwo Budownictwa Społecznego Sp. z o .o. w Bytomiu.</w:t>
      </w:r>
    </w:p>
    <w:p w:rsidR="002366BB" w:rsidRDefault="00906DC6">
      <w:pPr>
        <w:pStyle w:val="Tekstpodstawowy2"/>
        <w:spacing w:line="360" w:lineRule="auto"/>
        <w:jc w:val="left"/>
        <w:rPr>
          <w:rFonts w:ascii="Arial" w:hAnsi="Arial" w:cs="Arial"/>
        </w:rPr>
      </w:pPr>
      <w:r>
        <w:rPr>
          <w:rFonts w:ascii="Arial" w:hAnsi="Arial" w:cs="Arial"/>
        </w:rPr>
        <w:t xml:space="preserve">Radna Magdalena Koloch zapytała o wymianę okien na parterze w kamienicy na rogu ul. Korfantego i ul. Sokoła, która spotkała się z bardzo negatywnym odbiorem i czy jest szansa na interwencję w tej sprawie. Radna zapytała również o budynek naprzeciwko siedziby gazowni, na którym stało rusztowanie. </w:t>
      </w:r>
    </w:p>
    <w:p w:rsidR="002366BB" w:rsidRDefault="002366BB">
      <w:pPr>
        <w:pStyle w:val="Tekstpodstawowy2"/>
        <w:spacing w:line="360" w:lineRule="auto"/>
        <w:jc w:val="left"/>
        <w:rPr>
          <w:rFonts w:ascii="Arial" w:hAnsi="Arial" w:cs="Arial"/>
        </w:rPr>
      </w:pPr>
    </w:p>
    <w:p w:rsidR="002366BB" w:rsidRDefault="00906DC6">
      <w:pPr>
        <w:pStyle w:val="Tekstpodstawowy2"/>
        <w:spacing w:line="360" w:lineRule="auto"/>
        <w:jc w:val="left"/>
        <w:rPr>
          <w:rFonts w:ascii="Arial" w:hAnsi="Arial" w:cs="Arial"/>
        </w:rPr>
      </w:pPr>
      <w:r>
        <w:rPr>
          <w:rFonts w:ascii="Arial" w:hAnsi="Arial" w:cs="Arial"/>
        </w:rPr>
        <w:t xml:space="preserve">Pani Dominika </w:t>
      </w:r>
      <w:proofErr w:type="spellStart"/>
      <w:r>
        <w:rPr>
          <w:rFonts w:ascii="Arial" w:hAnsi="Arial" w:cs="Arial"/>
        </w:rPr>
        <w:t>Kściuczyk</w:t>
      </w:r>
      <w:proofErr w:type="spellEnd"/>
      <w:r>
        <w:rPr>
          <w:rFonts w:ascii="Arial" w:hAnsi="Arial" w:cs="Arial"/>
        </w:rPr>
        <w:t xml:space="preserve">, naczelnik Wydziału Konserwatora Zabytków, poinformowała, że z punktu widzenia przepisów prawa  i ustawy o ochronie zabytków, jeżeli obiekt nie jest wpisany do rejestru zabytków lub na obszarze wpisanym do rejestru zabytków, to wymiana okien jest traktowana jako zwykłe użytkowanie rzeczy. Niestety Miejski </w:t>
      </w:r>
      <w:r>
        <w:rPr>
          <w:rFonts w:ascii="Arial" w:hAnsi="Arial" w:cs="Arial"/>
        </w:rPr>
        <w:lastRenderedPageBreak/>
        <w:t>Konserwator Zabytków i Powiatowy Inspektor Nadzoru Budowlanego nie mają możliwości interwencji w tej sprawie, a jedynie mogą wydawać zalecenia. Naczelnik poinformowała, że ze względu na walory ww. kamienicy i zainteresowanie społeczne, wystąpiono do Wojewódzkiego Konserwatora Zabytków o rozważenie możliwości wpisu budynku do rejestru zabytków, co zakończyło się powodzeniem. Jednakże nie ma już możliwości egzekucji w kwestii wymiany okien, która nastąpiła przed wpisaniem do rejestru zabytków. Wspólnota mieszkaniowa może się zwrócić się do Wojewódzkiego Konserwatora Zabytków o dotację na wymianę okien z przywróceniem ich oryginalnej formy. W kwestii budynku znajdującego się naprzeciwko siedziby gazowni, to są w nim prowadzone cykliczne kontrole Powiatowego Inspektora Nadzoru Budowlanego i Wojewódzkiego Konserwatora Zabytków. Rusztowania zostały usunięte, ponieważ budynek został zabezpieczony. Właściciel zaczął już rozmowy z Wojewódzkim Konserwatorem Zabytków na temat przeprowadzenia prac w obiekcie.</w:t>
      </w:r>
    </w:p>
    <w:p w:rsidR="002366BB" w:rsidRDefault="002366BB">
      <w:pPr>
        <w:pStyle w:val="Tekstpodstawowy2"/>
        <w:spacing w:line="360" w:lineRule="auto"/>
        <w:jc w:val="left"/>
        <w:rPr>
          <w:rFonts w:ascii="Arial" w:hAnsi="Arial" w:cs="Arial"/>
        </w:rPr>
      </w:pPr>
    </w:p>
    <w:p w:rsidR="002366BB" w:rsidRDefault="00906DC6">
      <w:pPr>
        <w:spacing w:line="360" w:lineRule="auto"/>
        <w:rPr>
          <w:rFonts w:ascii="Arial" w:hAnsi="Arial" w:cs="Arial"/>
        </w:rPr>
      </w:pPr>
      <w:r>
        <w:rPr>
          <w:rFonts w:ascii="Arial" w:hAnsi="Arial" w:cs="Arial"/>
        </w:rPr>
        <w:t>Radna Iwona Pakosz- przewodnicząca poinformowała, że następne posiedzenie komisji odbędzie się 7 stycznia 2025 r. o godz. 13.00 w Urzędzie Miejskim w Bytomiu. Wszyscy członkowie komisji otrzymają zawiadomienie o posiedzeniu do skrytek – zawiadomienie n</w:t>
      </w:r>
      <w:r w:rsidR="00841B2D">
        <w:rPr>
          <w:rFonts w:ascii="Arial" w:hAnsi="Arial" w:cs="Arial"/>
        </w:rPr>
        <w:t>r PR.KSW.0012.8.2024 – zał. nr 5</w:t>
      </w:r>
      <w:r>
        <w:rPr>
          <w:rFonts w:ascii="Arial" w:hAnsi="Arial" w:cs="Arial"/>
        </w:rPr>
        <w:t>.</w:t>
      </w:r>
    </w:p>
    <w:p w:rsidR="002366BB" w:rsidRDefault="00906DC6">
      <w:pPr>
        <w:spacing w:line="360" w:lineRule="auto"/>
        <w:rPr>
          <w:rFonts w:ascii="Arial" w:hAnsi="Arial" w:cs="Arial"/>
          <w:bCs/>
        </w:rPr>
      </w:pPr>
      <w:r>
        <w:rPr>
          <w:rFonts w:ascii="Arial" w:hAnsi="Arial" w:cs="Arial"/>
          <w:b/>
        </w:rPr>
        <w:t xml:space="preserve">Ad. 5. </w:t>
      </w:r>
      <w:r>
        <w:rPr>
          <w:rFonts w:ascii="Arial" w:hAnsi="Arial" w:cs="Arial"/>
          <w:b/>
          <w:bCs/>
        </w:rPr>
        <w:t>Zamknięcie posiedzenia.</w:t>
      </w:r>
    </w:p>
    <w:p w:rsidR="002366BB" w:rsidRDefault="00906DC6">
      <w:pPr>
        <w:pStyle w:val="Tekstpodstawowy2"/>
        <w:spacing w:line="360" w:lineRule="auto"/>
        <w:jc w:val="left"/>
        <w:rPr>
          <w:rFonts w:ascii="Arial" w:hAnsi="Arial" w:cs="Arial"/>
        </w:rPr>
      </w:pPr>
      <w:r>
        <w:rPr>
          <w:rFonts w:ascii="Arial" w:hAnsi="Arial" w:cs="Arial"/>
        </w:rPr>
        <w:t>Po zrealizowaniu wszystkich punktów porządku obrad przewodnicząca komisji zakończyła posiedzenie o godzinie: 14:17.</w:t>
      </w:r>
    </w:p>
    <w:p w:rsidR="002366BB" w:rsidRDefault="00906DC6">
      <w:pPr>
        <w:pStyle w:val="Tekstpodstawowy2"/>
        <w:spacing w:line="360" w:lineRule="auto"/>
        <w:jc w:val="left"/>
        <w:rPr>
          <w:rFonts w:ascii="Arial" w:hAnsi="Arial" w:cs="Arial"/>
          <w:sz w:val="16"/>
          <w:szCs w:val="16"/>
        </w:rPr>
      </w:pPr>
      <w:r>
        <w:rPr>
          <w:rFonts w:ascii="Arial" w:hAnsi="Arial" w:cs="Arial"/>
          <w:sz w:val="16"/>
          <w:szCs w:val="16"/>
        </w:rPr>
        <w:t xml:space="preserve">Protokołowała: E. Jaroszyńska </w:t>
      </w:r>
    </w:p>
    <w:p w:rsidR="002366BB" w:rsidRDefault="002366BB">
      <w:pPr>
        <w:pStyle w:val="Tekstpodstawowy2"/>
        <w:spacing w:line="360" w:lineRule="auto"/>
        <w:ind w:left="5670"/>
        <w:jc w:val="right"/>
        <w:rPr>
          <w:rFonts w:ascii="Arial" w:hAnsi="Arial" w:cs="Arial"/>
        </w:rPr>
      </w:pPr>
    </w:p>
    <w:p w:rsidR="00295C70" w:rsidRDefault="00295C70" w:rsidP="00295C70">
      <w:pPr>
        <w:pStyle w:val="Tekstpodstawowy2"/>
        <w:ind w:left="5670"/>
        <w:jc w:val="right"/>
        <w:rPr>
          <w:rFonts w:ascii="Arial" w:hAnsi="Arial" w:cs="Arial"/>
        </w:rPr>
      </w:pPr>
      <w:r>
        <w:rPr>
          <w:rFonts w:ascii="Arial" w:hAnsi="Arial" w:cs="Arial"/>
        </w:rPr>
        <w:t>Podpisała</w:t>
      </w:r>
    </w:p>
    <w:p w:rsidR="002366BB" w:rsidRDefault="00906DC6" w:rsidP="00295C70">
      <w:pPr>
        <w:pStyle w:val="Tekstpodstawowy2"/>
        <w:ind w:left="5670"/>
        <w:jc w:val="right"/>
        <w:rPr>
          <w:rFonts w:ascii="Arial" w:hAnsi="Arial" w:cs="Arial"/>
          <w:sz w:val="16"/>
          <w:szCs w:val="16"/>
        </w:rPr>
      </w:pPr>
      <w:r>
        <w:rPr>
          <w:rFonts w:ascii="Arial" w:hAnsi="Arial" w:cs="Arial"/>
        </w:rPr>
        <w:t>Przewodnicząca</w:t>
      </w:r>
    </w:p>
    <w:p w:rsidR="002366BB" w:rsidRDefault="00906DC6" w:rsidP="00295C70">
      <w:pPr>
        <w:pStyle w:val="Zwrotgrzecznociowy"/>
        <w:ind w:left="5670"/>
        <w:jc w:val="right"/>
        <w:rPr>
          <w:rFonts w:ascii="Arial" w:hAnsi="Arial" w:cs="Arial"/>
          <w:spacing w:val="0"/>
          <w:sz w:val="20"/>
          <w:szCs w:val="24"/>
        </w:rPr>
      </w:pPr>
      <w:r>
        <w:rPr>
          <w:rFonts w:ascii="Arial" w:hAnsi="Arial" w:cs="Arial"/>
          <w:spacing w:val="0"/>
          <w:sz w:val="24"/>
          <w:szCs w:val="24"/>
        </w:rPr>
        <w:t>Komisji Edukacji, Kultury, Sportu i Rekreacji</w:t>
      </w:r>
    </w:p>
    <w:p w:rsidR="002366BB" w:rsidRDefault="00906DC6" w:rsidP="00295C70">
      <w:pPr>
        <w:ind w:left="5670"/>
        <w:jc w:val="right"/>
        <w:rPr>
          <w:rFonts w:ascii="Arial" w:hAnsi="Arial" w:cs="Arial"/>
        </w:rPr>
      </w:pPr>
      <w:r>
        <w:rPr>
          <w:rFonts w:ascii="Arial" w:hAnsi="Arial" w:cs="Arial"/>
        </w:rPr>
        <w:t>Iwona Pakosz</w:t>
      </w:r>
    </w:p>
    <w:p w:rsidR="002366BB" w:rsidRDefault="002366BB">
      <w:pPr>
        <w:spacing w:line="360" w:lineRule="auto"/>
        <w:rPr>
          <w:rFonts w:ascii="Arial" w:hAnsi="Arial" w:cs="Arial"/>
          <w:color w:val="5F5F5F"/>
          <w:shd w:val="clear" w:color="auto" w:fill="FFFFFF"/>
        </w:rPr>
      </w:pPr>
    </w:p>
    <w:tbl>
      <w:tblPr>
        <w:tblW w:w="3883" w:type="dxa"/>
        <w:tblInd w:w="60" w:type="dxa"/>
        <w:tblCellMar>
          <w:top w:w="15" w:type="dxa"/>
          <w:left w:w="75" w:type="dxa"/>
          <w:bottom w:w="15" w:type="dxa"/>
          <w:right w:w="15" w:type="dxa"/>
        </w:tblCellMar>
        <w:tblLook w:val="04A0"/>
      </w:tblPr>
      <w:tblGrid>
        <w:gridCol w:w="141"/>
        <w:gridCol w:w="3742"/>
      </w:tblGrid>
      <w:tr w:rsidR="002366BB">
        <w:tc>
          <w:tcPr>
            <w:tcW w:w="141" w:type="dxa"/>
            <w:shd w:val="clear" w:color="auto" w:fill="auto"/>
            <w:vAlign w:val="center"/>
          </w:tcPr>
          <w:p w:rsidR="002366BB" w:rsidRDefault="002366BB">
            <w:pPr>
              <w:jc w:val="right"/>
            </w:pPr>
          </w:p>
        </w:tc>
        <w:tc>
          <w:tcPr>
            <w:tcW w:w="3741" w:type="dxa"/>
            <w:shd w:val="clear" w:color="auto" w:fill="auto"/>
            <w:tcMar>
              <w:left w:w="15" w:type="dxa"/>
            </w:tcMar>
            <w:vAlign w:val="center"/>
          </w:tcPr>
          <w:p w:rsidR="002366BB" w:rsidRPr="003401CE" w:rsidRDefault="003401CE">
            <w:pPr>
              <w:rPr>
                <w:rFonts w:ascii="Arial" w:hAnsi="Arial" w:cs="Arial"/>
                <w:sz w:val="16"/>
                <w:szCs w:val="16"/>
              </w:rPr>
            </w:pPr>
            <w:r w:rsidRPr="003401CE">
              <w:rPr>
                <w:rStyle w:val="displayonly"/>
                <w:rFonts w:ascii="Arial" w:hAnsi="Arial" w:cs="Arial"/>
                <w:sz w:val="16"/>
                <w:szCs w:val="16"/>
              </w:rPr>
              <w:t>2553/01/2025</w:t>
            </w:r>
          </w:p>
        </w:tc>
      </w:tr>
      <w:tr w:rsidR="002366BB">
        <w:trPr>
          <w:trHeight w:hRule="exact" w:val="23"/>
        </w:trPr>
        <w:tc>
          <w:tcPr>
            <w:tcW w:w="141" w:type="dxa"/>
            <w:shd w:val="clear" w:color="auto" w:fill="auto"/>
            <w:vAlign w:val="center"/>
          </w:tcPr>
          <w:p w:rsidR="002366BB" w:rsidRDefault="002366BB">
            <w:pPr>
              <w:jc w:val="right"/>
            </w:pPr>
          </w:p>
        </w:tc>
        <w:tc>
          <w:tcPr>
            <w:tcW w:w="3741" w:type="dxa"/>
            <w:shd w:val="clear" w:color="auto" w:fill="auto"/>
            <w:tcMar>
              <w:left w:w="15" w:type="dxa"/>
            </w:tcMar>
            <w:vAlign w:val="center"/>
          </w:tcPr>
          <w:p w:rsidR="002366BB" w:rsidRPr="003401CE" w:rsidRDefault="002366BB">
            <w:pPr>
              <w:rPr>
                <w:rFonts w:ascii="Arial" w:hAnsi="Arial" w:cs="Arial"/>
                <w:sz w:val="16"/>
                <w:szCs w:val="16"/>
              </w:rPr>
            </w:pPr>
          </w:p>
        </w:tc>
      </w:tr>
      <w:tr w:rsidR="002366BB">
        <w:tc>
          <w:tcPr>
            <w:tcW w:w="141" w:type="dxa"/>
            <w:shd w:val="clear" w:color="auto" w:fill="auto"/>
            <w:vAlign w:val="center"/>
          </w:tcPr>
          <w:p w:rsidR="002366BB" w:rsidRDefault="002366BB">
            <w:pPr>
              <w:jc w:val="right"/>
            </w:pPr>
          </w:p>
          <w:p w:rsidR="002366BB" w:rsidRDefault="002366BB">
            <w:pPr>
              <w:jc w:val="right"/>
            </w:pPr>
          </w:p>
        </w:tc>
        <w:tc>
          <w:tcPr>
            <w:tcW w:w="3741" w:type="dxa"/>
            <w:shd w:val="clear" w:color="auto" w:fill="auto"/>
            <w:tcMar>
              <w:left w:w="15" w:type="dxa"/>
            </w:tcMar>
            <w:vAlign w:val="center"/>
          </w:tcPr>
          <w:p w:rsidR="002366BB" w:rsidRDefault="002366BB">
            <w:pPr>
              <w:rPr>
                <w:rFonts w:ascii="Arial" w:hAnsi="Arial" w:cs="Arial"/>
              </w:rPr>
            </w:pPr>
          </w:p>
        </w:tc>
      </w:tr>
    </w:tbl>
    <w:p w:rsidR="002366BB" w:rsidRDefault="002366BB">
      <w:pPr>
        <w:tabs>
          <w:tab w:val="left" w:pos="2970"/>
        </w:tabs>
      </w:pPr>
    </w:p>
    <w:sectPr w:rsidR="002366BB" w:rsidSect="002366BB">
      <w:headerReference w:type="default" r:id="rId9"/>
      <w:footerReference w:type="default" r:id="rId10"/>
      <w:headerReference w:type="first" r:id="rId11"/>
      <w:pgSz w:w="11906" w:h="16838"/>
      <w:pgMar w:top="1418" w:right="1106" w:bottom="1418" w:left="1418" w:header="709" w:footer="709" w:gutter="0"/>
      <w:cols w:space="708"/>
      <w:formProt w:val="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6BB" w:rsidRDefault="002366BB" w:rsidP="002366BB">
      <w:r>
        <w:separator/>
      </w:r>
    </w:p>
  </w:endnote>
  <w:endnote w:type="continuationSeparator" w:id="0">
    <w:p w:rsidR="002366BB" w:rsidRDefault="002366BB" w:rsidP="002366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6BB" w:rsidRDefault="00116950">
    <w:pPr>
      <w:pStyle w:val="Footer"/>
      <w:jc w:val="right"/>
    </w:pPr>
    <w:r>
      <w:fldChar w:fldCharType="begin"/>
    </w:r>
    <w:r w:rsidR="00906DC6">
      <w:instrText>PAGE</w:instrText>
    </w:r>
    <w:r>
      <w:fldChar w:fldCharType="separate"/>
    </w:r>
    <w:r w:rsidR="00295C70">
      <w:rPr>
        <w:noProof/>
      </w:rPr>
      <w:t>9</w:t>
    </w:r>
    <w:r>
      <w:fldChar w:fldCharType="end"/>
    </w:r>
  </w:p>
  <w:p w:rsidR="002366BB" w:rsidRDefault="002366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6BB" w:rsidRDefault="002366BB" w:rsidP="002366BB">
      <w:r>
        <w:separator/>
      </w:r>
    </w:p>
  </w:footnote>
  <w:footnote w:type="continuationSeparator" w:id="0">
    <w:p w:rsidR="002366BB" w:rsidRDefault="002366BB" w:rsidP="002366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6BB" w:rsidRDefault="002366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6BB" w:rsidRDefault="00906DC6">
    <w:pPr>
      <w:pStyle w:val="Header"/>
      <w:tabs>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2366BB" w:rsidRDefault="002366BB">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7B22"/>
    <w:multiLevelType w:val="multilevel"/>
    <w:tmpl w:val="243466D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53A16E2"/>
    <w:multiLevelType w:val="multilevel"/>
    <w:tmpl w:val="2CAC1C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B5549C4"/>
    <w:multiLevelType w:val="multilevel"/>
    <w:tmpl w:val="FAAAC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hyphenationZone w:val="425"/>
  <w:characterSpacingControl w:val="doNotCompress"/>
  <w:footnotePr>
    <w:footnote w:id="-1"/>
    <w:footnote w:id="0"/>
  </w:footnotePr>
  <w:endnotePr>
    <w:endnote w:id="-1"/>
    <w:endnote w:id="0"/>
  </w:endnotePr>
  <w:compat/>
  <w:rsids>
    <w:rsidRoot w:val="002366BB"/>
    <w:rsid w:val="00116950"/>
    <w:rsid w:val="002366BB"/>
    <w:rsid w:val="00295C70"/>
    <w:rsid w:val="003401CE"/>
    <w:rsid w:val="0053213C"/>
    <w:rsid w:val="00841B2D"/>
    <w:rsid w:val="00906DC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3">
    <w:name w:val="Heading 3"/>
    <w:basedOn w:val="Normalny"/>
    <w:link w:val="Nagwek3Znak"/>
    <w:uiPriority w:val="9"/>
    <w:unhideWhenUsed/>
    <w:qFormat/>
    <w:rsid w:val="003D44EF"/>
    <w:pPr>
      <w:keepNext/>
      <w:keepLines/>
      <w:spacing w:before="200"/>
      <w:outlineLvl w:val="2"/>
    </w:pPr>
    <w:rPr>
      <w:rFonts w:asciiTheme="majorHAnsi" w:eastAsiaTheme="majorEastAsia" w:hAnsiTheme="majorHAnsi" w:cstheme="majorBidi"/>
      <w:b/>
      <w:bCs/>
      <w:color w:val="4F81BD" w:themeColor="accent1"/>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czeinternetowe">
    <w:name w:val="Łącze internetowe"/>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semiHidden/>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Tekstprzypisukocowego"/>
    <w:uiPriority w:val="99"/>
    <w:semiHidden/>
    <w:qFormat/>
    <w:rsid w:val="0015077F"/>
  </w:style>
  <w:style w:type="character" w:styleId="Odwoanieprzypisukocowego">
    <w:name w:val="endnote reference"/>
    <w:basedOn w:val="Domylnaczcionkaakapitu"/>
    <w:uiPriority w:val="99"/>
    <w:semiHidden/>
    <w:unhideWhenUsed/>
    <w:qFormat/>
    <w:rsid w:val="0015077F"/>
    <w:rPr>
      <w:vertAlign w:val="superscript"/>
    </w:rPr>
  </w:style>
  <w:style w:type="character" w:customStyle="1" w:styleId="ListLabel1">
    <w:name w:val="ListLabel 1"/>
    <w:qFormat/>
    <w:rsid w:val="006F0D55"/>
    <w:rPr>
      <w:i w:val="0"/>
    </w:rPr>
  </w:style>
  <w:style w:type="character" w:customStyle="1" w:styleId="ListLabel2">
    <w:name w:val="ListLabel 2"/>
    <w:qFormat/>
    <w:rsid w:val="006F0D55"/>
    <w:rPr>
      <w:rFonts w:eastAsia="Times New Roman" w:cs="Times New Roman"/>
    </w:rPr>
  </w:style>
  <w:style w:type="character" w:customStyle="1" w:styleId="ListLabel3">
    <w:name w:val="ListLabel 3"/>
    <w:qFormat/>
    <w:rsid w:val="006F0D55"/>
    <w:rPr>
      <w:i w:val="0"/>
    </w:rPr>
  </w:style>
  <w:style w:type="character" w:customStyle="1" w:styleId="ListLabel4">
    <w:name w:val="ListLabel 4"/>
    <w:qFormat/>
    <w:rsid w:val="006F0D55"/>
    <w:rPr>
      <w:rFonts w:eastAsia="Times New Roman" w:cs="Times New Roman"/>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ListLabel5">
    <w:name w:val="ListLabel 5"/>
    <w:qFormat/>
    <w:rsid w:val="000E7125"/>
    <w:rPr>
      <w:rFonts w:eastAsia="Times New Roman" w:cs="Times New Roman"/>
    </w:rPr>
  </w:style>
  <w:style w:type="character" w:customStyle="1" w:styleId="ListLabel6">
    <w:name w:val="ListLabel 6"/>
    <w:qFormat/>
    <w:rsid w:val="000E7125"/>
    <w:rPr>
      <w:rFonts w:cs="Courier New"/>
    </w:rPr>
  </w:style>
  <w:style w:type="character" w:customStyle="1" w:styleId="ListLabel7">
    <w:name w:val="ListLabel 7"/>
    <w:qFormat/>
    <w:rsid w:val="000E7125"/>
    <w:rPr>
      <w:rFonts w:cs="Courier New"/>
    </w:rPr>
  </w:style>
  <w:style w:type="character" w:customStyle="1" w:styleId="ListLabel8">
    <w:name w:val="ListLabel 8"/>
    <w:qFormat/>
    <w:rsid w:val="000E7125"/>
    <w:rPr>
      <w:rFonts w:cs="Courier New"/>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Nagwek3Znak">
    <w:name w:val="Nagłówek 3 Znak"/>
    <w:basedOn w:val="Domylnaczcionkaakapitu"/>
    <w:link w:val="Heading3"/>
    <w:uiPriority w:val="9"/>
    <w:qFormat/>
    <w:rsid w:val="003D44EF"/>
    <w:rPr>
      <w:rFonts w:asciiTheme="majorHAnsi" w:eastAsiaTheme="majorEastAsia" w:hAnsiTheme="majorHAnsi" w:cstheme="majorBidi"/>
      <w:b/>
      <w:bCs/>
      <w:color w:val="4F81BD" w:themeColor="accent1"/>
      <w:sz w:val="24"/>
      <w:szCs w:val="24"/>
    </w:rPr>
  </w:style>
  <w:style w:type="paragraph" w:styleId="Nagwek">
    <w:name w:val="header"/>
    <w:basedOn w:val="Normalny"/>
    <w:next w:val="Tekstpodstawowy"/>
    <w:qFormat/>
    <w:rsid w:val="002366BB"/>
    <w:pPr>
      <w:keepNext/>
      <w:spacing w:before="240" w:after="120"/>
    </w:pPr>
    <w:rPr>
      <w:rFonts w:ascii="Liberation Sans" w:eastAsia="Microsoft YaHei" w:hAnsi="Liberation Sans" w:cs="Lucida Sans"/>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Header">
    <w:name w:val="Header"/>
    <w:basedOn w:val="Normaln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uiPriority w:val="99"/>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semiHidden/>
    <w:unhideWhenUsed/>
    <w:qFormat/>
    <w:rsid w:val="001B2DDC"/>
    <w:pPr>
      <w:spacing w:after="120" w:line="480" w:lineRule="auto"/>
      <w:ind w:left="283"/>
    </w:pPr>
  </w:style>
  <w:style w:type="paragraph" w:styleId="Akapitzlist">
    <w:name w:val="List Paragraph"/>
    <w:basedOn w:val="Normalny"/>
    <w:uiPriority w:val="34"/>
    <w:qFormat/>
    <w:rsid w:val="004E153A"/>
    <w:pPr>
      <w:ind w:left="720"/>
      <w:contextualSpacing/>
    </w:pPr>
  </w:style>
  <w:style w:type="paragraph" w:styleId="Tekstprzypisukocowego">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suppressAutoHyphens/>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F3F91E-DC57-46CC-B849-C392DD485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2690</Words>
  <Characters>16142</Characters>
  <Application>Microsoft Office Word</Application>
  <DocSecurity>0</DocSecurity>
  <Lines>134</Lines>
  <Paragraphs>37</Paragraphs>
  <ScaleCrop>false</ScaleCrop>
  <Company>UM Bytom</Company>
  <LinksUpToDate>false</LinksUpToDate>
  <CharactersWithSpaces>18795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ejaroszynska</cp:lastModifiedBy>
  <cp:revision>4</cp:revision>
  <cp:lastPrinted>2023-01-04T10:24:00Z</cp:lastPrinted>
  <dcterms:created xsi:type="dcterms:W3CDTF">2025-01-15T07:01:00Z</dcterms:created>
  <dcterms:modified xsi:type="dcterms:W3CDTF">2025-02-03T14:43:00Z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 Bytom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