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Default="001A0FB6">
      <w:pPr>
        <w:spacing w:line="276" w:lineRule="auto"/>
        <w:jc w:val="center"/>
        <w:rPr>
          <w:b/>
          <w:caps/>
        </w:rPr>
      </w:pPr>
      <w:r>
        <w:rPr>
          <w:b/>
          <w:caps/>
        </w:rPr>
        <w:t>Uchwała Nr ....................</w:t>
      </w:r>
      <w:r>
        <w:rPr>
          <w:b/>
          <w:caps/>
        </w:rPr>
        <w:br/>
        <w:t>Rady Miejskiej w Bytomiu</w:t>
      </w:r>
    </w:p>
    <w:p w:rsidR="00A77B3E" w:rsidRDefault="001A0FB6">
      <w:pPr>
        <w:spacing w:before="280" w:after="280" w:line="276" w:lineRule="auto"/>
        <w:jc w:val="center"/>
        <w:rPr>
          <w:b/>
          <w:caps/>
        </w:rPr>
      </w:pPr>
      <w:r>
        <w:t>z dnia .................... 2025 r.</w:t>
      </w:r>
    </w:p>
    <w:p w:rsidR="00A77B3E" w:rsidRDefault="001A0FB6">
      <w:pPr>
        <w:keepNext/>
        <w:spacing w:after="480" w:line="276" w:lineRule="auto"/>
        <w:jc w:val="center"/>
      </w:pPr>
      <w:r>
        <w:rPr>
          <w:b/>
        </w:rPr>
        <w:t xml:space="preserve">zmieniająca uchwałę nr LXXXIII/1044/23 Rady Miejskiej w Bytomiu w sprawie określenia górnych stawek opłat ponoszonych przez właścicieli nieruchomości, którzy </w:t>
      </w:r>
      <w:r>
        <w:rPr>
          <w:b/>
        </w:rPr>
        <w:t>pozbywają się z terenu nieruchomości nieczystości ciekłych oraz właścicieli nieruchomości, którzy nie są obowiązani do ponoszenia opłat za gospodarowanie odpadami komunalnymi na rzecz gminy Bytom</w:t>
      </w:r>
    </w:p>
    <w:p w:rsidR="00A77B3E" w:rsidRDefault="001A0FB6">
      <w:pPr>
        <w:keepLines/>
        <w:spacing w:before="120" w:after="120" w:line="276" w:lineRule="auto"/>
        <w:ind w:firstLine="227"/>
      </w:pPr>
      <w:r>
        <w:t>Na podstawie art. 18 ust. 2 </w:t>
      </w:r>
      <w:proofErr w:type="spellStart"/>
      <w:r>
        <w:t>pkt</w:t>
      </w:r>
      <w:proofErr w:type="spellEnd"/>
      <w:r>
        <w:t> 15, art. 40 ust. 1 i art. 41</w:t>
      </w:r>
      <w:r>
        <w:t xml:space="preserve"> ust. 1 ustawy z dnia 8 marca 1990 r. o samorządzie gminnym (Dz. U. z 2024 r. poz. 1465, z </w:t>
      </w:r>
      <w:proofErr w:type="spellStart"/>
      <w:r>
        <w:t>późn</w:t>
      </w:r>
      <w:proofErr w:type="spellEnd"/>
      <w:r>
        <w:t xml:space="preserve">. zm.) i art. 6 ust. 2 i 4 ustawy z dnia 13 września 1996 r. o utrzymaniu czystości i porządku w gminach (Dz. U. z 2024 r. poz. 399, z </w:t>
      </w:r>
      <w:proofErr w:type="spellStart"/>
      <w:r>
        <w:t>późn</w:t>
      </w:r>
      <w:proofErr w:type="spellEnd"/>
      <w:r>
        <w:t>. zm.) uchwala się, co</w:t>
      </w:r>
      <w:r>
        <w:t xml:space="preserve"> następuje:</w:t>
      </w:r>
    </w:p>
    <w:p w:rsidR="00A77B3E" w:rsidRDefault="001A0FB6">
      <w:pPr>
        <w:keepLines/>
        <w:spacing w:before="120" w:after="120" w:line="276" w:lineRule="auto"/>
        <w:ind w:firstLine="340"/>
      </w:pPr>
      <w:r>
        <w:rPr>
          <w:b/>
        </w:rPr>
        <w:t>§ 1. </w:t>
      </w:r>
      <w:r>
        <w:t xml:space="preserve">W uchwale nr LXXXIII/1044/23 Rady Miejskiej w Bytomiu z dnia 28 sierpnia 2023 r. w sprawie określenia górnych stawek opłat ponoszonych przez właścicieli nieruchomości, którzy pozbywają się z terenu nieruchomości nieczystości ciekłych oraz </w:t>
      </w:r>
      <w:r>
        <w:t>właścicieli nieruchomości, którzy nie są obowiązani do ponoszenia opłat za gospodarowanie odpadami komunalnymi na rzecz gminy Bytom (Dz. Urz. Woj. Śl. z 2023 r. poz. 6560) wprowadza się następujące zmiany:</w:t>
      </w:r>
    </w:p>
    <w:p w:rsidR="00A77B3E" w:rsidRDefault="001A0FB6">
      <w:pPr>
        <w:spacing w:before="120" w:after="120" w:line="276" w:lineRule="auto"/>
        <w:ind w:left="340" w:hanging="227"/>
      </w:pPr>
      <w:r>
        <w:t>1) </w:t>
      </w:r>
      <w:r>
        <w:t>§ 1 otrzymuje brzmienie:</w:t>
      </w:r>
    </w:p>
    <w:p w:rsidR="00A77B3E" w:rsidRDefault="001A0FB6">
      <w:pPr>
        <w:keepLines/>
        <w:spacing w:before="120" w:after="120" w:line="276" w:lineRule="auto"/>
        <w:ind w:left="453" w:firstLine="227"/>
        <w:rPr>
          <w:color w:val="000000"/>
          <w:u w:color="000000"/>
        </w:rPr>
      </w:pPr>
      <w:r>
        <w:t>„</w:t>
      </w:r>
      <w:r>
        <w:t>§ 1. </w:t>
      </w:r>
      <w:r>
        <w:t>Określa się górn</w:t>
      </w:r>
      <w:r>
        <w:t>ą stawkę opłaty ponoszonej przez właścicieli nieruchomości z terenu miasta Bytomia za odpady komunalne, które są zbierane i odbierane w sposób selektywny, w wysokości 334,20 zł brutto za 1 m</w:t>
      </w:r>
      <w:r>
        <w:rPr>
          <w:color w:val="000000"/>
          <w:u w:color="000000"/>
          <w:vertAlign w:val="superscript"/>
        </w:rPr>
        <w:t>3</w:t>
      </w:r>
      <w:r>
        <w:rPr>
          <w:color w:val="000000"/>
          <w:u w:color="000000"/>
        </w:rPr>
        <w:t>.</w:t>
      </w:r>
      <w:r>
        <w:t>”</w:t>
      </w:r>
      <w:r>
        <w:t>;</w:t>
      </w:r>
    </w:p>
    <w:p w:rsidR="00A77B3E" w:rsidRDefault="001A0FB6">
      <w:pPr>
        <w:spacing w:before="120" w:after="120" w:line="276" w:lineRule="auto"/>
        <w:ind w:left="340" w:hanging="227"/>
        <w:rPr>
          <w:color w:val="000000"/>
          <w:u w:color="000000"/>
        </w:rPr>
      </w:pPr>
      <w:r>
        <w:t>2) </w:t>
      </w:r>
      <w:r>
        <w:rPr>
          <w:color w:val="000000"/>
          <w:u w:color="000000"/>
        </w:rPr>
        <w:t>§ 2 otrzymuje brzmienie:</w:t>
      </w:r>
    </w:p>
    <w:p w:rsidR="00A77B3E" w:rsidRDefault="001A0FB6">
      <w:pPr>
        <w:keepLines/>
        <w:spacing w:before="120" w:after="120" w:line="276" w:lineRule="auto"/>
        <w:ind w:left="453" w:firstLine="227"/>
        <w:rPr>
          <w:color w:val="000000"/>
          <w:u w:color="000000"/>
        </w:rPr>
      </w:pPr>
      <w:r>
        <w:t>„</w:t>
      </w:r>
      <w:r>
        <w:t>§ 2. </w:t>
      </w:r>
      <w:r>
        <w:rPr>
          <w:color w:val="000000"/>
          <w:u w:color="000000"/>
        </w:rPr>
        <w:t xml:space="preserve">Określa się górną stawkę </w:t>
      </w:r>
      <w:r>
        <w:rPr>
          <w:color w:val="000000"/>
          <w:u w:color="000000"/>
        </w:rPr>
        <w:t>opłaty ponoszonej przez właścicieli nieruchomości z terenu miasta Bytomia za odpady komunalne, które nie są zbierane i odbierane w sposób selektywny, w wysokości 668,20 zł brutto za 1 m</w:t>
      </w:r>
      <w:r>
        <w:rPr>
          <w:color w:val="000000"/>
          <w:u w:color="000000"/>
          <w:vertAlign w:val="superscript"/>
        </w:rPr>
        <w:t>3</w:t>
      </w:r>
      <w:r>
        <w:rPr>
          <w:color w:val="000000"/>
          <w:u w:color="000000"/>
        </w:rPr>
        <w:t>.</w:t>
      </w:r>
      <w:r>
        <w:t>”</w:t>
      </w:r>
      <w:r>
        <w:t>.</w:t>
      </w:r>
    </w:p>
    <w:p w:rsidR="00A77B3E" w:rsidRDefault="001A0FB6">
      <w:pPr>
        <w:keepLines/>
        <w:spacing w:before="120" w:after="120" w:line="276" w:lineRule="auto"/>
        <w:ind w:firstLine="340"/>
        <w:rPr>
          <w:color w:val="000000"/>
          <w:u w:color="000000"/>
        </w:rPr>
      </w:pPr>
      <w:r>
        <w:rPr>
          <w:b/>
        </w:rPr>
        <w:t>§ 2. </w:t>
      </w:r>
      <w:r>
        <w:rPr>
          <w:color w:val="000000"/>
          <w:u w:color="000000"/>
        </w:rPr>
        <w:t>Wykonanie uchwały powierza się Prezydentowi Miasta.</w:t>
      </w:r>
    </w:p>
    <w:p w:rsidR="00A77B3E" w:rsidRDefault="001A0FB6">
      <w:pPr>
        <w:keepLines/>
        <w:spacing w:before="120" w:after="120" w:line="276" w:lineRule="auto"/>
        <w:ind w:firstLine="340"/>
        <w:rPr>
          <w:color w:val="000000"/>
          <w:u w:color="000000"/>
        </w:rPr>
        <w:sectPr w:rsidR="00A77B3E">
          <w:footerReference w:type="default" r:id="rId6"/>
          <w:endnotePr>
            <w:numFmt w:val="decimal"/>
          </w:endnotePr>
          <w:pgSz w:w="11906" w:h="16838"/>
          <w:pgMar w:top="1417" w:right="1020" w:bottom="992" w:left="1020" w:header="708" w:footer="708" w:gutter="0"/>
          <w:cols w:space="708"/>
          <w:docGrid w:linePitch="360"/>
        </w:sectPr>
      </w:pPr>
      <w:r>
        <w:rPr>
          <w:b/>
        </w:rPr>
        <w:t>§ 3. </w:t>
      </w:r>
      <w:r>
        <w:rPr>
          <w:color w:val="000000"/>
          <w:u w:color="000000"/>
        </w:rPr>
        <w:t>Uchwała wchodzi w życie po upływie 14 dni od dnia ogłoszenia w Dzienniku Urzędowym Województwa Śląskiego.</w:t>
      </w:r>
    </w:p>
    <w:p w:rsidR="0062321D" w:rsidRDefault="0062321D">
      <w:pPr>
        <w:rPr>
          <w:rFonts w:eastAsia="Times New Roman" w:cs="Times New Roman"/>
          <w:szCs w:val="20"/>
        </w:rPr>
      </w:pPr>
    </w:p>
    <w:p w:rsidR="0062321D" w:rsidRDefault="001A0FB6">
      <w:pPr>
        <w:jc w:val="center"/>
        <w:rPr>
          <w:rFonts w:eastAsia="Times New Roman" w:cs="Times New Roman"/>
          <w:b/>
          <w:szCs w:val="20"/>
        </w:rPr>
      </w:pPr>
      <w:r>
        <w:rPr>
          <w:rFonts w:eastAsia="Times New Roman" w:cs="Times New Roman"/>
          <w:b/>
          <w:caps/>
          <w:szCs w:val="20"/>
        </w:rPr>
        <w:t>Uzasadnienie</w:t>
      </w:r>
    </w:p>
    <w:p w:rsidR="0062321D" w:rsidRDefault="001A0FB6">
      <w:pPr>
        <w:spacing w:before="120" w:after="120" w:line="276" w:lineRule="auto"/>
        <w:ind w:firstLine="227"/>
        <w:rPr>
          <w:rFonts w:eastAsia="Times New Roman" w:cs="Times New Roman"/>
          <w:szCs w:val="20"/>
        </w:rPr>
      </w:pPr>
      <w:r>
        <w:rPr>
          <w:rFonts w:eastAsia="Times New Roman" w:cs="Times New Roman"/>
          <w:szCs w:val="20"/>
        </w:rPr>
        <w:t>Niniejsza uchwała podejmowana jest w związku z koniecznością aktualizacji górnych stawek opłat wskazanych w uchwale nr LXXXIII/1044/23 Rady Miejskiej w Bytomiu z dnia 28 sierpnia 2023 r. w sprawie określenia górnych stawek opłat ponoszonych pr</w:t>
      </w:r>
      <w:r>
        <w:rPr>
          <w:rFonts w:eastAsia="Times New Roman" w:cs="Times New Roman"/>
          <w:szCs w:val="20"/>
        </w:rPr>
        <w:t>zez właścicieli nieruchomości, którzy pozbywają się z terenu nieruchomości nieczystości ciekłych oraz właścicieli nieruchomości, którzy nie są obowiązani do ponoszenia opłat za gospodarowanie odpadami komunalnymi na rzecz gminy Bytom (Dz. Urz. Woj. Śl. z 2</w:t>
      </w:r>
      <w:r>
        <w:rPr>
          <w:rFonts w:eastAsia="Times New Roman" w:cs="Times New Roman"/>
          <w:szCs w:val="20"/>
        </w:rPr>
        <w:t>023 r. poz. 6560). Zmiana górnych  stawek ma na celu ich urealnienie w stosunku do obowiązujących na rynku cen za odbieranie odpadów.</w:t>
      </w:r>
    </w:p>
    <w:p w:rsidR="0062321D" w:rsidRDefault="001A0FB6">
      <w:pPr>
        <w:spacing w:before="120" w:after="120" w:line="276" w:lineRule="auto"/>
        <w:ind w:firstLine="227"/>
        <w:rPr>
          <w:rFonts w:eastAsia="Times New Roman" w:cs="Times New Roman"/>
          <w:szCs w:val="20"/>
        </w:rPr>
      </w:pPr>
      <w:r>
        <w:rPr>
          <w:rFonts w:eastAsia="Times New Roman" w:cs="Times New Roman"/>
          <w:szCs w:val="20"/>
        </w:rPr>
        <w:t>Zauważyć należy, iż górne stawki opłat za omawiane usługi nie stanowią ceny za wykonane usługi, a są tylko wartością maksy</w:t>
      </w:r>
      <w:r>
        <w:rPr>
          <w:rFonts w:eastAsia="Times New Roman" w:cs="Times New Roman"/>
          <w:szCs w:val="20"/>
        </w:rPr>
        <w:t>malną opłat, które będą ponosić właściciele nieruchomości za nieprzestrzeganie przepisów zawartych w ustawie z dnia 13 września 1996 r. o utrzymaniu czystości i porządku w gminach art. 4 ust. 2 </w:t>
      </w:r>
      <w:proofErr w:type="spellStart"/>
      <w:r>
        <w:rPr>
          <w:rFonts w:eastAsia="Times New Roman" w:cs="Times New Roman"/>
          <w:szCs w:val="20"/>
        </w:rPr>
        <w:t>pkt</w:t>
      </w:r>
      <w:proofErr w:type="spellEnd"/>
      <w:r>
        <w:rPr>
          <w:rFonts w:eastAsia="Times New Roman" w:cs="Times New Roman"/>
          <w:szCs w:val="20"/>
        </w:rPr>
        <w:t> 1a i których nie mogą przekroczyć przedsiębiorcy wykonując</w:t>
      </w:r>
      <w:r>
        <w:rPr>
          <w:rFonts w:eastAsia="Times New Roman" w:cs="Times New Roman"/>
          <w:szCs w:val="20"/>
        </w:rPr>
        <w:t>y usługi w tym zakresie. Górne stawki opłat nie dotyczą mieszkańców Bytomia, którzy ujęci są w systemie gminnym i których cenę odbioru odpadów regulują inne przepisy miejscowe.</w:t>
      </w:r>
    </w:p>
    <w:p w:rsidR="0062321D" w:rsidRDefault="001A0FB6">
      <w:pPr>
        <w:spacing w:before="120" w:after="120" w:line="276" w:lineRule="auto"/>
        <w:ind w:firstLine="227"/>
        <w:rPr>
          <w:rFonts w:eastAsia="Times New Roman" w:cs="Times New Roman"/>
          <w:szCs w:val="20"/>
        </w:rPr>
      </w:pPr>
      <w:r>
        <w:rPr>
          <w:rFonts w:eastAsia="Times New Roman" w:cs="Times New Roman"/>
          <w:szCs w:val="20"/>
        </w:rPr>
        <w:t>Górne stawki opłat stosowane są do określenia w drodze decyzji obowiązku ponosz</w:t>
      </w:r>
      <w:r>
        <w:rPr>
          <w:rFonts w:eastAsia="Times New Roman" w:cs="Times New Roman"/>
          <w:szCs w:val="20"/>
        </w:rPr>
        <w:t>enia opłat za odbieranie odpadów komunalnych w przypadku tych właścicieli nieruchomości, którzy nie zawarli umów na odbieranie odpadów komunalnych lub postanowienia zawartej umowy są niezgodne z wymaganiami określonymi w regulaminie i przepisach ustawowych</w:t>
      </w:r>
      <w:r>
        <w:rPr>
          <w:rFonts w:eastAsia="Times New Roman" w:cs="Times New Roman"/>
          <w:szCs w:val="20"/>
        </w:rPr>
        <w:t>.</w:t>
      </w:r>
    </w:p>
    <w:p w:rsidR="0062321D" w:rsidRDefault="001A0FB6">
      <w:pPr>
        <w:spacing w:before="120" w:after="120" w:line="276" w:lineRule="auto"/>
        <w:ind w:firstLine="227"/>
        <w:rPr>
          <w:rFonts w:eastAsia="Times New Roman" w:cs="Times New Roman"/>
          <w:szCs w:val="20"/>
        </w:rPr>
      </w:pPr>
      <w:r>
        <w:rPr>
          <w:rFonts w:eastAsia="Times New Roman" w:cs="Times New Roman"/>
          <w:szCs w:val="20"/>
        </w:rPr>
        <w:t xml:space="preserve">Podane stawki opłaty określone w uchwale są kwotami brutto. Przedsiębiorcy, stosując górną stawkę jako cenę maksymalną za świadczone przez siebie usługi, nie mogą jej stosować jako podstawy opodatkowania podatkiem VAT tylko jako cenę zawierającą już ten </w:t>
      </w:r>
      <w:r>
        <w:rPr>
          <w:rFonts w:eastAsia="Times New Roman" w:cs="Times New Roman"/>
          <w:szCs w:val="20"/>
        </w:rPr>
        <w:t>podatek.</w:t>
      </w:r>
    </w:p>
    <w:p w:rsidR="0062321D" w:rsidRDefault="001A0FB6">
      <w:pPr>
        <w:spacing w:before="120" w:after="120" w:line="276" w:lineRule="auto"/>
        <w:ind w:firstLine="227"/>
        <w:rPr>
          <w:rFonts w:eastAsia="Times New Roman" w:cs="Times New Roman"/>
          <w:szCs w:val="20"/>
        </w:rPr>
      </w:pPr>
      <w:r>
        <w:rPr>
          <w:rFonts w:eastAsia="Times New Roman" w:cs="Times New Roman"/>
          <w:szCs w:val="20"/>
        </w:rPr>
        <w:t>W myśl art. 6 ust. 4 z dnia 13 września 1996 r. o utrzymaniu czystości i porządku w gminach, a także biorąc pod uwagę informacje otrzymane od firm, określono wyższe stawki, gdy odpady komunalne nie są zbierane i odbierane w sposób selektywny.</w:t>
      </w:r>
    </w:p>
    <w:p w:rsidR="0062321D" w:rsidRDefault="001A0FB6">
      <w:pPr>
        <w:spacing w:before="120" w:after="120" w:line="276" w:lineRule="auto"/>
        <w:ind w:firstLine="227"/>
        <w:rPr>
          <w:rFonts w:eastAsia="Times New Roman" w:cs="Times New Roman"/>
          <w:szCs w:val="20"/>
        </w:rPr>
      </w:pPr>
      <w:r>
        <w:rPr>
          <w:rFonts w:eastAsia="Times New Roman" w:cs="Times New Roman"/>
          <w:szCs w:val="20"/>
        </w:rPr>
        <w:t>W ce</w:t>
      </w:r>
      <w:r>
        <w:rPr>
          <w:rFonts w:eastAsia="Times New Roman" w:cs="Times New Roman"/>
          <w:szCs w:val="20"/>
        </w:rPr>
        <w:t>lu przeprowadzenia kalkulacji górnych stawek opłat ponoszonych przez właścicieli nieruchomości, którzy pozbywają się z terenu nieruchomości nieczystości ciekłych oraz właścicieli nieruchomości, którzy nie są obowiązani do ponoszenia opłat za gospodarowanie</w:t>
      </w:r>
      <w:r>
        <w:rPr>
          <w:rFonts w:eastAsia="Times New Roman" w:cs="Times New Roman"/>
          <w:szCs w:val="20"/>
        </w:rPr>
        <w:t xml:space="preserve"> odpadami komunalnymi wystąpiono do wszystkich firm wpisanych do Rejestru Działalności Regulowanej zwanego dalej RDR w celu zebrania materiałów do wyliczenia górnej stawki opłaty za odbieranie odpadów komunalnych. Na podstawie danych uzyskanych od dwóch fi</w:t>
      </w:r>
      <w:r>
        <w:rPr>
          <w:rFonts w:eastAsia="Times New Roman" w:cs="Times New Roman"/>
          <w:szCs w:val="20"/>
        </w:rPr>
        <w:t>rm, (tabela nr 1 i tabela nr 2) wpisanych do RDR na odbieranie odpadów komunalnych i funkcjonujących na terenie miasta Bytomia, dokonano poniższych wyliczeń.</w:t>
      </w:r>
    </w:p>
    <w:p w:rsidR="0062321D" w:rsidRDefault="0062321D">
      <w:pPr>
        <w:spacing w:before="120" w:after="120" w:line="276" w:lineRule="auto"/>
        <w:ind w:firstLine="227"/>
        <w:rPr>
          <w:rFonts w:eastAsia="Times New Roman" w:cs="Times New Roman"/>
          <w:szCs w:val="20"/>
        </w:rPr>
      </w:pPr>
    </w:p>
    <w:p w:rsidR="0062321D" w:rsidRDefault="0062321D">
      <w:pPr>
        <w:spacing w:before="120" w:after="120" w:line="276" w:lineRule="auto"/>
        <w:ind w:firstLine="227"/>
        <w:rPr>
          <w:rFonts w:eastAsia="Times New Roman" w:cs="Times New Roman"/>
          <w:szCs w:val="20"/>
        </w:rPr>
      </w:pPr>
    </w:p>
    <w:p w:rsidR="0062321D" w:rsidRDefault="0062321D">
      <w:pPr>
        <w:spacing w:before="120" w:after="120" w:line="276" w:lineRule="auto"/>
        <w:ind w:firstLine="227"/>
        <w:rPr>
          <w:rFonts w:eastAsia="Times New Roman" w:cs="Times New Roman"/>
          <w:szCs w:val="20"/>
        </w:rPr>
      </w:pPr>
    </w:p>
    <w:p w:rsidR="0062321D" w:rsidRDefault="0062321D">
      <w:pPr>
        <w:spacing w:before="120" w:after="120" w:line="276" w:lineRule="auto"/>
        <w:ind w:firstLine="227"/>
        <w:rPr>
          <w:rFonts w:eastAsia="Times New Roman" w:cs="Times New Roman"/>
          <w:szCs w:val="20"/>
        </w:rPr>
      </w:pPr>
    </w:p>
    <w:p w:rsidR="0062321D" w:rsidRDefault="001A0FB6">
      <w:pPr>
        <w:spacing w:before="120" w:after="120" w:line="276" w:lineRule="auto"/>
        <w:ind w:firstLine="227"/>
        <w:rPr>
          <w:rFonts w:eastAsia="Times New Roman" w:cs="Times New Roman"/>
          <w:szCs w:val="20"/>
        </w:rPr>
      </w:pPr>
      <w:r>
        <w:rPr>
          <w:rFonts w:eastAsia="Times New Roman" w:cs="Times New Roman"/>
          <w:szCs w:val="20"/>
        </w:rPr>
        <w:lastRenderedPageBreak/>
        <w:t>Kalkulacja górnej stawki opłaty za odbieranie odpadów komunalnych:</w:t>
      </w:r>
    </w:p>
    <w:p w:rsidR="0062321D" w:rsidRDefault="001A0FB6">
      <w:pPr>
        <w:spacing w:before="120" w:after="120" w:line="276" w:lineRule="auto"/>
        <w:ind w:firstLine="227"/>
        <w:rPr>
          <w:rFonts w:eastAsia="Times New Roman" w:cs="Times New Roman"/>
          <w:szCs w:val="20"/>
        </w:rPr>
      </w:pPr>
      <w:r>
        <w:rPr>
          <w:rFonts w:eastAsia="Times New Roman" w:cs="Times New Roman"/>
          <w:szCs w:val="20"/>
        </w:rPr>
        <w:t>Tabela nr 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115"/>
        <w:gridCol w:w="1995"/>
        <w:gridCol w:w="2850"/>
        <w:gridCol w:w="3120"/>
      </w:tblGrid>
      <w:tr w:rsidR="0062321D">
        <w:tc>
          <w:tcPr>
            <w:tcW w:w="2115"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Firma nr 1</w:t>
            </w:r>
          </w:p>
        </w:tc>
        <w:tc>
          <w:tcPr>
            <w:tcW w:w="1995" w:type="dxa"/>
            <w:tcBorders>
              <w:top w:val="single" w:sz="4" w:space="0" w:color="000000"/>
              <w:left w:val="single" w:sz="4" w:space="0" w:color="000000"/>
              <w:bottom w:val="single" w:sz="2"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Frakcje</w:t>
            </w:r>
          </w:p>
        </w:tc>
        <w:tc>
          <w:tcPr>
            <w:tcW w:w="2850" w:type="dxa"/>
            <w:tcBorders>
              <w:top w:val="single" w:sz="4" w:space="0" w:color="000000"/>
              <w:left w:val="single" w:sz="4" w:space="0" w:color="000000"/>
              <w:bottom w:val="single" w:sz="2"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Cena brutto za pojemnik</w:t>
            </w:r>
          </w:p>
          <w:p w:rsidR="0062321D" w:rsidRDefault="001A0FB6">
            <w:pPr>
              <w:rPr>
                <w:rFonts w:eastAsia="Times New Roman" w:cs="Times New Roman"/>
                <w:szCs w:val="20"/>
              </w:rPr>
            </w:pPr>
            <w:r>
              <w:rPr>
                <w:rFonts w:eastAsia="Times New Roman" w:cs="Times New Roman"/>
                <w:szCs w:val="20"/>
              </w:rPr>
              <w:t>120 litrów</w:t>
            </w:r>
          </w:p>
        </w:tc>
        <w:tc>
          <w:tcPr>
            <w:tcW w:w="3120" w:type="dxa"/>
            <w:tcBorders>
              <w:top w:val="single" w:sz="4" w:space="0" w:color="000000"/>
              <w:left w:val="single" w:sz="4" w:space="0" w:color="000000"/>
              <w:bottom w:val="single" w:sz="2"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 xml:space="preserve">Cena brutto za 1 </w:t>
            </w:r>
            <w:proofErr w:type="spellStart"/>
            <w:r>
              <w:rPr>
                <w:rFonts w:eastAsia="Times New Roman" w:cs="Times New Roman"/>
                <w:szCs w:val="20"/>
              </w:rPr>
              <w:t>m³</w:t>
            </w:r>
            <w:proofErr w:type="spellEnd"/>
          </w:p>
        </w:tc>
      </w:tr>
      <w:tr w:rsidR="0062321D">
        <w:tc>
          <w:tcPr>
            <w:tcW w:w="2115" w:type="dxa"/>
            <w:vMerge/>
            <w:tcBorders>
              <w:left w:val="single" w:sz="4" w:space="0" w:color="000000"/>
              <w:right w:val="single" w:sz="4" w:space="0" w:color="000000"/>
            </w:tcBorders>
            <w:tcMar>
              <w:top w:w="0" w:type="dxa"/>
              <w:left w:w="108" w:type="dxa"/>
              <w:bottom w:w="0" w:type="dxa"/>
              <w:right w:w="108" w:type="dxa"/>
            </w:tcMar>
          </w:tcPr>
          <w:p w:rsidR="0062321D" w:rsidRDefault="0062321D">
            <w:pPr>
              <w:rPr>
                <w:rFonts w:eastAsia="Times New Roman" w:cs="Times New Roman"/>
                <w:szCs w:val="20"/>
              </w:rPr>
            </w:pPr>
          </w:p>
        </w:tc>
        <w:tc>
          <w:tcPr>
            <w:tcW w:w="1995" w:type="dxa"/>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Plastik</w:t>
            </w:r>
          </w:p>
        </w:tc>
        <w:tc>
          <w:tcPr>
            <w:tcW w:w="2850" w:type="dxa"/>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26,00</w:t>
            </w:r>
          </w:p>
        </w:tc>
        <w:tc>
          <w:tcPr>
            <w:tcW w:w="3120" w:type="dxa"/>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218</w:t>
            </w:r>
          </w:p>
        </w:tc>
      </w:tr>
      <w:tr w:rsidR="0062321D">
        <w:tc>
          <w:tcPr>
            <w:tcW w:w="2115" w:type="dxa"/>
            <w:vMerge/>
            <w:tcBorders>
              <w:left w:val="single" w:sz="4" w:space="0" w:color="000000"/>
              <w:right w:val="single" w:sz="4" w:space="0" w:color="000000"/>
            </w:tcBorders>
            <w:tcMar>
              <w:top w:w="0" w:type="dxa"/>
              <w:left w:w="108" w:type="dxa"/>
              <w:bottom w:w="0" w:type="dxa"/>
              <w:right w:w="108" w:type="dxa"/>
            </w:tcMar>
          </w:tcPr>
          <w:p w:rsidR="0062321D" w:rsidRDefault="0062321D">
            <w:pPr>
              <w:rPr>
                <w:rFonts w:eastAsia="Times New Roman" w:cs="Times New Roman"/>
                <w:szCs w:val="20"/>
              </w:rPr>
            </w:pPr>
          </w:p>
        </w:tc>
        <w:tc>
          <w:tcPr>
            <w:tcW w:w="1995" w:type="dxa"/>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Papier</w:t>
            </w:r>
          </w:p>
        </w:tc>
        <w:tc>
          <w:tcPr>
            <w:tcW w:w="2850" w:type="dxa"/>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26,00</w:t>
            </w:r>
          </w:p>
        </w:tc>
        <w:tc>
          <w:tcPr>
            <w:tcW w:w="3120" w:type="dxa"/>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218</w:t>
            </w:r>
          </w:p>
        </w:tc>
      </w:tr>
      <w:tr w:rsidR="0062321D">
        <w:tc>
          <w:tcPr>
            <w:tcW w:w="2115" w:type="dxa"/>
            <w:vMerge/>
            <w:tcBorders>
              <w:left w:val="single" w:sz="4" w:space="0" w:color="000000"/>
              <w:right w:val="single" w:sz="4" w:space="0" w:color="000000"/>
            </w:tcBorders>
            <w:tcMar>
              <w:top w:w="0" w:type="dxa"/>
              <w:left w:w="108" w:type="dxa"/>
              <w:bottom w:w="0" w:type="dxa"/>
              <w:right w:w="108" w:type="dxa"/>
            </w:tcMar>
          </w:tcPr>
          <w:p w:rsidR="0062321D" w:rsidRDefault="0062321D">
            <w:pPr>
              <w:rPr>
                <w:rFonts w:eastAsia="Times New Roman" w:cs="Times New Roman"/>
                <w:szCs w:val="20"/>
              </w:rPr>
            </w:pPr>
          </w:p>
        </w:tc>
        <w:tc>
          <w:tcPr>
            <w:tcW w:w="1995" w:type="dxa"/>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Szkło</w:t>
            </w:r>
          </w:p>
        </w:tc>
        <w:tc>
          <w:tcPr>
            <w:tcW w:w="2850" w:type="dxa"/>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26,00</w:t>
            </w:r>
          </w:p>
        </w:tc>
        <w:tc>
          <w:tcPr>
            <w:tcW w:w="3120" w:type="dxa"/>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218</w:t>
            </w:r>
          </w:p>
        </w:tc>
      </w:tr>
      <w:tr w:rsidR="0062321D">
        <w:tc>
          <w:tcPr>
            <w:tcW w:w="2115" w:type="dxa"/>
            <w:vMerge/>
            <w:tcBorders>
              <w:left w:val="single" w:sz="4" w:space="0" w:color="000000"/>
              <w:right w:val="single" w:sz="4" w:space="0" w:color="000000"/>
            </w:tcBorders>
            <w:tcMar>
              <w:top w:w="0" w:type="dxa"/>
              <w:left w:w="108" w:type="dxa"/>
              <w:bottom w:w="0" w:type="dxa"/>
              <w:right w:w="108" w:type="dxa"/>
            </w:tcMar>
          </w:tcPr>
          <w:p w:rsidR="0062321D" w:rsidRDefault="0062321D">
            <w:pPr>
              <w:rPr>
                <w:rFonts w:eastAsia="Times New Roman" w:cs="Times New Roman"/>
                <w:szCs w:val="20"/>
              </w:rPr>
            </w:pPr>
          </w:p>
        </w:tc>
        <w:tc>
          <w:tcPr>
            <w:tcW w:w="1995" w:type="dxa"/>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proofErr w:type="spellStart"/>
            <w:r>
              <w:rPr>
                <w:rFonts w:eastAsia="Times New Roman" w:cs="Times New Roman"/>
                <w:szCs w:val="20"/>
              </w:rPr>
              <w:t>Bio</w:t>
            </w:r>
            <w:proofErr w:type="spellEnd"/>
          </w:p>
        </w:tc>
        <w:tc>
          <w:tcPr>
            <w:tcW w:w="2850" w:type="dxa"/>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47,00</w:t>
            </w:r>
          </w:p>
        </w:tc>
        <w:tc>
          <w:tcPr>
            <w:tcW w:w="3120" w:type="dxa"/>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394</w:t>
            </w:r>
          </w:p>
        </w:tc>
      </w:tr>
      <w:tr w:rsidR="0062321D">
        <w:tc>
          <w:tcPr>
            <w:tcW w:w="2115" w:type="dxa"/>
            <w:vMerge/>
            <w:tcBorders>
              <w:left w:val="single" w:sz="4" w:space="0" w:color="000000"/>
              <w:bottom w:val="single" w:sz="2" w:space="0" w:color="000000"/>
              <w:right w:val="single" w:sz="4" w:space="0" w:color="000000"/>
            </w:tcBorders>
            <w:tcMar>
              <w:top w:w="0" w:type="dxa"/>
              <w:left w:w="108" w:type="dxa"/>
              <w:bottom w:w="0" w:type="dxa"/>
              <w:right w:w="108" w:type="dxa"/>
            </w:tcMar>
          </w:tcPr>
          <w:p w:rsidR="0062321D" w:rsidRDefault="0062321D">
            <w:pPr>
              <w:rPr>
                <w:rFonts w:eastAsia="Times New Roman" w:cs="Times New Roman"/>
                <w:szCs w:val="20"/>
              </w:rPr>
            </w:pPr>
          </w:p>
        </w:tc>
        <w:tc>
          <w:tcPr>
            <w:tcW w:w="1995" w:type="dxa"/>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Zmieszane</w:t>
            </w:r>
          </w:p>
        </w:tc>
        <w:tc>
          <w:tcPr>
            <w:tcW w:w="2850" w:type="dxa"/>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41,00</w:t>
            </w:r>
          </w:p>
        </w:tc>
        <w:tc>
          <w:tcPr>
            <w:tcW w:w="3120" w:type="dxa"/>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343</w:t>
            </w:r>
          </w:p>
        </w:tc>
      </w:tr>
      <w:tr w:rsidR="0062321D">
        <w:trPr>
          <w:trHeight w:val="330"/>
        </w:trPr>
        <w:tc>
          <w:tcPr>
            <w:tcW w:w="4110" w:type="dxa"/>
            <w:gridSpan w:val="2"/>
            <w:tcBorders>
              <w:top w:val="single" w:sz="2" w:space="0" w:color="000000"/>
              <w:left w:val="single" w:sz="4" w:space="0" w:color="000000"/>
              <w:bottom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 xml:space="preserve">Średnia cena                              </w:t>
            </w:r>
          </w:p>
        </w:tc>
        <w:tc>
          <w:tcPr>
            <w:tcW w:w="2850" w:type="dxa"/>
            <w:tcBorders>
              <w:top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33,20</w:t>
            </w:r>
          </w:p>
        </w:tc>
        <w:tc>
          <w:tcPr>
            <w:tcW w:w="312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278,20</w:t>
            </w:r>
          </w:p>
        </w:tc>
      </w:tr>
    </w:tbl>
    <w:p w:rsidR="0062321D" w:rsidRDefault="001A0FB6">
      <w:pPr>
        <w:spacing w:before="120" w:after="120" w:line="276" w:lineRule="auto"/>
        <w:ind w:firstLine="227"/>
        <w:rPr>
          <w:rFonts w:eastAsia="Times New Roman" w:cs="Times New Roman"/>
          <w:szCs w:val="20"/>
        </w:rPr>
      </w:pPr>
      <w:r>
        <w:rPr>
          <w:rFonts w:eastAsia="Times New Roman" w:cs="Times New Roman"/>
          <w:szCs w:val="20"/>
        </w:rPr>
        <w:t>Tabela nr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115"/>
        <w:gridCol w:w="1995"/>
        <w:gridCol w:w="2850"/>
        <w:gridCol w:w="3120"/>
      </w:tblGrid>
      <w:tr w:rsidR="0062321D">
        <w:tc>
          <w:tcPr>
            <w:tcW w:w="2115" w:type="dxa"/>
            <w:vMerge w:val="restart"/>
            <w:tcBorders>
              <w:top w:val="single" w:sz="2" w:space="0" w:color="000000"/>
              <w:left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Firma nr 2</w:t>
            </w:r>
          </w:p>
        </w:tc>
        <w:tc>
          <w:tcPr>
            <w:tcW w:w="1995"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Frakcje</w:t>
            </w:r>
          </w:p>
        </w:tc>
        <w:tc>
          <w:tcPr>
            <w:tcW w:w="285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 xml:space="preserve">Cena </w:t>
            </w:r>
            <w:r>
              <w:rPr>
                <w:rFonts w:eastAsia="Times New Roman" w:cs="Times New Roman"/>
                <w:szCs w:val="20"/>
              </w:rPr>
              <w:t>brutto za pojemnik</w:t>
            </w:r>
          </w:p>
          <w:p w:rsidR="0062321D" w:rsidRDefault="001A0FB6">
            <w:pPr>
              <w:rPr>
                <w:rFonts w:eastAsia="Times New Roman" w:cs="Times New Roman"/>
                <w:szCs w:val="20"/>
              </w:rPr>
            </w:pPr>
            <w:r>
              <w:rPr>
                <w:rFonts w:eastAsia="Times New Roman" w:cs="Times New Roman"/>
                <w:szCs w:val="20"/>
              </w:rPr>
              <w:t>120 litrów</w:t>
            </w:r>
          </w:p>
        </w:tc>
        <w:tc>
          <w:tcPr>
            <w:tcW w:w="312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 xml:space="preserve">Cena brutto za 1 </w:t>
            </w:r>
            <w:proofErr w:type="spellStart"/>
            <w:r>
              <w:rPr>
                <w:rFonts w:eastAsia="Times New Roman" w:cs="Times New Roman"/>
                <w:szCs w:val="20"/>
              </w:rPr>
              <w:t>m³</w:t>
            </w:r>
            <w:proofErr w:type="spellEnd"/>
          </w:p>
        </w:tc>
      </w:tr>
      <w:tr w:rsidR="0062321D">
        <w:tc>
          <w:tcPr>
            <w:tcW w:w="2115" w:type="dxa"/>
            <w:vMerge/>
            <w:tcBorders>
              <w:left w:val="single" w:sz="2" w:space="0" w:color="000000"/>
              <w:right w:val="single" w:sz="2" w:space="0" w:color="000000"/>
            </w:tcBorders>
            <w:tcMar>
              <w:top w:w="0" w:type="dxa"/>
              <w:left w:w="108" w:type="dxa"/>
              <w:bottom w:w="0" w:type="dxa"/>
              <w:right w:w="108" w:type="dxa"/>
            </w:tcMar>
          </w:tcPr>
          <w:p w:rsidR="0062321D" w:rsidRDefault="0062321D">
            <w:pPr>
              <w:rPr>
                <w:rFonts w:eastAsia="Times New Roman" w:cs="Times New Roman"/>
                <w:szCs w:val="20"/>
              </w:rPr>
            </w:pPr>
          </w:p>
        </w:tc>
        <w:tc>
          <w:tcPr>
            <w:tcW w:w="1995"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Plastik</w:t>
            </w:r>
          </w:p>
        </w:tc>
        <w:tc>
          <w:tcPr>
            <w:tcW w:w="285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35,00</w:t>
            </w:r>
          </w:p>
        </w:tc>
        <w:tc>
          <w:tcPr>
            <w:tcW w:w="312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289,00</w:t>
            </w:r>
          </w:p>
        </w:tc>
      </w:tr>
      <w:tr w:rsidR="0062321D">
        <w:tc>
          <w:tcPr>
            <w:tcW w:w="2115" w:type="dxa"/>
            <w:vMerge/>
            <w:tcBorders>
              <w:left w:val="single" w:sz="2" w:space="0" w:color="000000"/>
              <w:right w:val="single" w:sz="2" w:space="0" w:color="000000"/>
            </w:tcBorders>
            <w:tcMar>
              <w:top w:w="0" w:type="dxa"/>
              <w:left w:w="108" w:type="dxa"/>
              <w:bottom w:w="0" w:type="dxa"/>
              <w:right w:w="108" w:type="dxa"/>
            </w:tcMar>
          </w:tcPr>
          <w:p w:rsidR="0062321D" w:rsidRDefault="0062321D">
            <w:pPr>
              <w:rPr>
                <w:rFonts w:eastAsia="Times New Roman" w:cs="Times New Roman"/>
                <w:szCs w:val="20"/>
              </w:rPr>
            </w:pPr>
          </w:p>
        </w:tc>
        <w:tc>
          <w:tcPr>
            <w:tcW w:w="1995"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Papier</w:t>
            </w:r>
          </w:p>
        </w:tc>
        <w:tc>
          <w:tcPr>
            <w:tcW w:w="285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35,00</w:t>
            </w:r>
          </w:p>
        </w:tc>
        <w:tc>
          <w:tcPr>
            <w:tcW w:w="312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289,00</w:t>
            </w:r>
          </w:p>
        </w:tc>
      </w:tr>
      <w:tr w:rsidR="0062321D">
        <w:tc>
          <w:tcPr>
            <w:tcW w:w="2115" w:type="dxa"/>
            <w:vMerge/>
            <w:tcBorders>
              <w:left w:val="single" w:sz="2" w:space="0" w:color="000000"/>
              <w:right w:val="single" w:sz="2" w:space="0" w:color="000000"/>
            </w:tcBorders>
            <w:tcMar>
              <w:top w:w="0" w:type="dxa"/>
              <w:left w:w="108" w:type="dxa"/>
              <w:bottom w:w="0" w:type="dxa"/>
              <w:right w:w="108" w:type="dxa"/>
            </w:tcMar>
          </w:tcPr>
          <w:p w:rsidR="0062321D" w:rsidRDefault="0062321D">
            <w:pPr>
              <w:rPr>
                <w:rFonts w:eastAsia="Times New Roman" w:cs="Times New Roman"/>
                <w:szCs w:val="20"/>
              </w:rPr>
            </w:pPr>
          </w:p>
        </w:tc>
        <w:tc>
          <w:tcPr>
            <w:tcW w:w="1995"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Szkło</w:t>
            </w:r>
          </w:p>
        </w:tc>
        <w:tc>
          <w:tcPr>
            <w:tcW w:w="285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35,00</w:t>
            </w:r>
          </w:p>
        </w:tc>
        <w:tc>
          <w:tcPr>
            <w:tcW w:w="312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289,00</w:t>
            </w:r>
          </w:p>
        </w:tc>
      </w:tr>
      <w:tr w:rsidR="0062321D">
        <w:tc>
          <w:tcPr>
            <w:tcW w:w="2115" w:type="dxa"/>
            <w:vMerge/>
            <w:tcBorders>
              <w:left w:val="single" w:sz="2" w:space="0" w:color="000000"/>
              <w:right w:val="single" w:sz="2" w:space="0" w:color="000000"/>
            </w:tcBorders>
            <w:tcMar>
              <w:top w:w="0" w:type="dxa"/>
              <w:left w:w="108" w:type="dxa"/>
              <w:bottom w:w="0" w:type="dxa"/>
              <w:right w:w="108" w:type="dxa"/>
            </w:tcMar>
          </w:tcPr>
          <w:p w:rsidR="0062321D" w:rsidRDefault="0062321D">
            <w:pPr>
              <w:rPr>
                <w:rFonts w:eastAsia="Times New Roman" w:cs="Times New Roman"/>
                <w:szCs w:val="20"/>
              </w:rPr>
            </w:pPr>
          </w:p>
        </w:tc>
        <w:tc>
          <w:tcPr>
            <w:tcW w:w="1995"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proofErr w:type="spellStart"/>
            <w:r>
              <w:rPr>
                <w:rFonts w:eastAsia="Times New Roman" w:cs="Times New Roman"/>
                <w:szCs w:val="20"/>
              </w:rPr>
              <w:t>Bio</w:t>
            </w:r>
            <w:proofErr w:type="spellEnd"/>
          </w:p>
        </w:tc>
        <w:tc>
          <w:tcPr>
            <w:tcW w:w="285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53,00</w:t>
            </w:r>
          </w:p>
        </w:tc>
        <w:tc>
          <w:tcPr>
            <w:tcW w:w="312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443,00</w:t>
            </w:r>
          </w:p>
        </w:tc>
      </w:tr>
      <w:tr w:rsidR="0062321D">
        <w:tc>
          <w:tcPr>
            <w:tcW w:w="2115" w:type="dxa"/>
            <w:vMerge/>
            <w:tcBorders>
              <w:left w:val="single" w:sz="2" w:space="0" w:color="000000"/>
              <w:bottom w:val="single" w:sz="2" w:space="0" w:color="000000"/>
              <w:right w:val="single" w:sz="2" w:space="0" w:color="000000"/>
            </w:tcBorders>
            <w:tcMar>
              <w:top w:w="0" w:type="dxa"/>
              <w:left w:w="108" w:type="dxa"/>
              <w:bottom w:w="0" w:type="dxa"/>
              <w:right w:w="108" w:type="dxa"/>
            </w:tcMar>
          </w:tcPr>
          <w:p w:rsidR="0062321D" w:rsidRDefault="0062321D">
            <w:pPr>
              <w:rPr>
                <w:rFonts w:eastAsia="Times New Roman" w:cs="Times New Roman"/>
                <w:szCs w:val="20"/>
              </w:rPr>
            </w:pPr>
          </w:p>
        </w:tc>
        <w:tc>
          <w:tcPr>
            <w:tcW w:w="1995"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Zmieszane</w:t>
            </w:r>
          </w:p>
        </w:tc>
        <w:tc>
          <w:tcPr>
            <w:tcW w:w="285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59,00</w:t>
            </w:r>
          </w:p>
        </w:tc>
        <w:tc>
          <w:tcPr>
            <w:tcW w:w="312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491,00</w:t>
            </w:r>
          </w:p>
        </w:tc>
      </w:tr>
      <w:tr w:rsidR="0062321D">
        <w:tc>
          <w:tcPr>
            <w:tcW w:w="4110" w:type="dxa"/>
            <w:gridSpan w:val="2"/>
            <w:tcBorders>
              <w:top w:val="single" w:sz="2" w:space="0" w:color="000000"/>
              <w:left w:val="single" w:sz="2" w:space="0" w:color="000000"/>
              <w:bottom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Średnia cena</w:t>
            </w:r>
          </w:p>
        </w:tc>
        <w:tc>
          <w:tcPr>
            <w:tcW w:w="285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43,40</w:t>
            </w:r>
          </w:p>
        </w:tc>
        <w:tc>
          <w:tcPr>
            <w:tcW w:w="312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62321D" w:rsidRDefault="001A0FB6">
            <w:pPr>
              <w:rPr>
                <w:rFonts w:eastAsia="Times New Roman" w:cs="Times New Roman"/>
                <w:szCs w:val="20"/>
              </w:rPr>
            </w:pPr>
            <w:r>
              <w:rPr>
                <w:rFonts w:eastAsia="Times New Roman" w:cs="Times New Roman"/>
                <w:szCs w:val="20"/>
              </w:rPr>
              <w:t>360,20</w:t>
            </w:r>
          </w:p>
        </w:tc>
      </w:tr>
    </w:tbl>
    <w:p w:rsidR="0062321D" w:rsidRDefault="001A0FB6">
      <w:pPr>
        <w:spacing w:before="120" w:after="120" w:line="276" w:lineRule="auto"/>
        <w:ind w:firstLine="227"/>
        <w:rPr>
          <w:rFonts w:eastAsia="Times New Roman" w:cs="Times New Roman"/>
          <w:szCs w:val="20"/>
        </w:rPr>
      </w:pPr>
      <w:r>
        <w:rPr>
          <w:rFonts w:eastAsia="Times New Roman" w:cs="Times New Roman"/>
          <w:szCs w:val="20"/>
        </w:rPr>
        <w:t xml:space="preserve">Średnia cena obu firm za pojemnik 120 litrów wyniosła: (33,20 + </w:t>
      </w:r>
      <w:r>
        <w:rPr>
          <w:rFonts w:eastAsia="Times New Roman" w:cs="Times New Roman"/>
          <w:szCs w:val="20"/>
        </w:rPr>
        <w:t>43,40) ÷ 2 = 38,30 zł. Średnia cena obu firm za 1 </w:t>
      </w:r>
      <w:proofErr w:type="spellStart"/>
      <w:r>
        <w:rPr>
          <w:rFonts w:eastAsia="Times New Roman" w:cs="Times New Roman"/>
          <w:szCs w:val="20"/>
        </w:rPr>
        <w:t>m³</w:t>
      </w:r>
      <w:proofErr w:type="spellEnd"/>
      <w:r>
        <w:rPr>
          <w:rFonts w:eastAsia="Times New Roman" w:cs="Times New Roman"/>
          <w:szCs w:val="20"/>
        </w:rPr>
        <w:t xml:space="preserve"> wyniosła: (278,20 + 360,20) ÷ 2 = 319,20 zł. Wykorzystano dane według cenników obowiązujących w listopadzie 2024 r. Obliczeń dokonano w oparciu o średnią cenę odbioru odpadów z pojemnika o pojemności 120</w:t>
      </w:r>
      <w:r>
        <w:rPr>
          <w:rFonts w:eastAsia="Times New Roman" w:cs="Times New Roman"/>
          <w:szCs w:val="20"/>
        </w:rPr>
        <w:t> litrów. Średnia cena odbioru pojemnika 120 litrów z obydwu firm wyniosła 38,30 zł brutto. Zatem średnia cena odbioru 1m³ odpadów wyniosła odpowiednio 319,20 zł brutto.</w:t>
      </w:r>
    </w:p>
    <w:p w:rsidR="0062321D" w:rsidRDefault="001A0FB6">
      <w:pPr>
        <w:spacing w:before="120" w:after="120" w:line="276" w:lineRule="auto"/>
        <w:ind w:firstLine="227"/>
        <w:rPr>
          <w:rFonts w:eastAsia="Times New Roman" w:cs="Times New Roman"/>
          <w:szCs w:val="20"/>
        </w:rPr>
      </w:pPr>
      <w:r>
        <w:rPr>
          <w:rFonts w:eastAsia="Times New Roman" w:cs="Times New Roman"/>
          <w:szCs w:val="20"/>
        </w:rPr>
        <w:t>Zgodnie z informacją podaną przez GUS inflacja w listopadzie 2024 r. wyniosła 4,7 %</w:t>
      </w:r>
    </w:p>
    <w:tbl>
      <w:tblPr>
        <w:tblStyle w:val="Tabela-Prosty1"/>
        <w:tblW w:w="0" w:type="auto"/>
        <w:tblLayout w:type="fixed"/>
        <w:tblLook w:val="04A0"/>
      </w:tblPr>
      <w:tblGrid>
        <w:gridCol w:w="2025"/>
        <w:gridCol w:w="2025"/>
        <w:gridCol w:w="2016"/>
        <w:gridCol w:w="2016"/>
        <w:gridCol w:w="2016"/>
      </w:tblGrid>
      <w:tr w:rsidR="0062321D">
        <w:tc>
          <w:tcPr>
            <w:tcW w:w="2025" w:type="dxa"/>
          </w:tcPr>
          <w:p w:rsidR="0062321D" w:rsidRDefault="0062321D">
            <w:pPr>
              <w:spacing w:before="120" w:after="120" w:line="276" w:lineRule="auto"/>
              <w:rPr>
                <w:rFonts w:eastAsia="Times New Roman" w:cs="Times New Roman"/>
                <w:szCs w:val="20"/>
              </w:rPr>
            </w:pPr>
          </w:p>
        </w:tc>
        <w:tc>
          <w:tcPr>
            <w:tcW w:w="2025" w:type="dxa"/>
          </w:tcPr>
          <w:p w:rsidR="0062321D" w:rsidRDefault="001A0FB6">
            <w:pPr>
              <w:spacing w:before="120" w:after="120" w:line="276" w:lineRule="auto"/>
              <w:rPr>
                <w:rFonts w:eastAsia="Times New Roman" w:cs="Times New Roman"/>
                <w:szCs w:val="20"/>
              </w:rPr>
            </w:pPr>
            <w:r>
              <w:rPr>
                <w:rFonts w:eastAsia="Times New Roman" w:cs="Times New Roman"/>
                <w:szCs w:val="20"/>
              </w:rPr>
              <w:t>20</w:t>
            </w:r>
            <w:r>
              <w:rPr>
                <w:rFonts w:eastAsia="Times New Roman" w:cs="Times New Roman"/>
                <w:szCs w:val="20"/>
              </w:rPr>
              <w:t>21</w:t>
            </w:r>
          </w:p>
        </w:tc>
        <w:tc>
          <w:tcPr>
            <w:tcW w:w="2010" w:type="dxa"/>
          </w:tcPr>
          <w:p w:rsidR="0062321D" w:rsidRDefault="001A0FB6">
            <w:pPr>
              <w:spacing w:before="120" w:after="120" w:line="276" w:lineRule="auto"/>
              <w:rPr>
                <w:rFonts w:eastAsia="Times New Roman" w:cs="Times New Roman"/>
                <w:szCs w:val="20"/>
              </w:rPr>
            </w:pPr>
            <w:r>
              <w:rPr>
                <w:rFonts w:eastAsia="Times New Roman" w:cs="Times New Roman"/>
                <w:szCs w:val="20"/>
              </w:rPr>
              <w:t>2022</w:t>
            </w:r>
          </w:p>
        </w:tc>
        <w:tc>
          <w:tcPr>
            <w:tcW w:w="2010" w:type="dxa"/>
          </w:tcPr>
          <w:p w:rsidR="0062321D" w:rsidRDefault="001A0FB6">
            <w:pPr>
              <w:spacing w:before="120" w:after="120" w:line="276" w:lineRule="auto"/>
              <w:rPr>
                <w:rFonts w:eastAsia="Times New Roman" w:cs="Times New Roman"/>
                <w:szCs w:val="20"/>
              </w:rPr>
            </w:pPr>
            <w:r>
              <w:rPr>
                <w:rFonts w:eastAsia="Times New Roman" w:cs="Times New Roman"/>
                <w:szCs w:val="20"/>
              </w:rPr>
              <w:t>2023</w:t>
            </w:r>
          </w:p>
        </w:tc>
        <w:tc>
          <w:tcPr>
            <w:tcW w:w="2010" w:type="dxa"/>
          </w:tcPr>
          <w:p w:rsidR="0062321D" w:rsidRDefault="001A0FB6">
            <w:pPr>
              <w:spacing w:before="120" w:after="120" w:line="276" w:lineRule="auto"/>
              <w:rPr>
                <w:rFonts w:eastAsia="Times New Roman" w:cs="Times New Roman"/>
                <w:szCs w:val="20"/>
              </w:rPr>
            </w:pPr>
            <w:r>
              <w:rPr>
                <w:rFonts w:eastAsia="Times New Roman" w:cs="Times New Roman"/>
                <w:szCs w:val="20"/>
              </w:rPr>
              <w:t>2024</w:t>
            </w:r>
          </w:p>
        </w:tc>
      </w:tr>
      <w:tr w:rsidR="0062321D">
        <w:tc>
          <w:tcPr>
            <w:tcW w:w="2016" w:type="dxa"/>
          </w:tcPr>
          <w:p w:rsidR="0062321D" w:rsidRDefault="001A0FB6">
            <w:pPr>
              <w:spacing w:before="120" w:after="120" w:line="276" w:lineRule="auto"/>
              <w:rPr>
                <w:rFonts w:eastAsia="Times New Roman" w:cs="Times New Roman"/>
                <w:szCs w:val="20"/>
              </w:rPr>
            </w:pPr>
            <w:r>
              <w:rPr>
                <w:rFonts w:eastAsia="Times New Roman" w:cs="Times New Roman"/>
                <w:szCs w:val="20"/>
              </w:rPr>
              <w:t>Listopad</w:t>
            </w:r>
          </w:p>
        </w:tc>
        <w:tc>
          <w:tcPr>
            <w:tcW w:w="2016" w:type="dxa"/>
          </w:tcPr>
          <w:p w:rsidR="0062321D" w:rsidRDefault="001A0FB6">
            <w:pPr>
              <w:spacing w:before="120" w:after="120" w:line="276" w:lineRule="auto"/>
              <w:rPr>
                <w:rFonts w:eastAsia="Times New Roman" w:cs="Times New Roman"/>
                <w:szCs w:val="20"/>
              </w:rPr>
            </w:pPr>
            <w:r>
              <w:rPr>
                <w:rFonts w:eastAsia="Times New Roman" w:cs="Times New Roman"/>
                <w:szCs w:val="20"/>
              </w:rPr>
              <w:t>7.8</w:t>
            </w:r>
          </w:p>
        </w:tc>
        <w:tc>
          <w:tcPr>
            <w:tcW w:w="2016" w:type="dxa"/>
          </w:tcPr>
          <w:p w:rsidR="0062321D" w:rsidRDefault="001A0FB6">
            <w:pPr>
              <w:spacing w:before="120" w:after="120" w:line="276" w:lineRule="auto"/>
              <w:rPr>
                <w:rFonts w:eastAsia="Times New Roman" w:cs="Times New Roman"/>
                <w:szCs w:val="20"/>
              </w:rPr>
            </w:pPr>
            <w:r>
              <w:rPr>
                <w:rFonts w:eastAsia="Times New Roman" w:cs="Times New Roman"/>
                <w:szCs w:val="20"/>
              </w:rPr>
              <w:t>17.5</w:t>
            </w:r>
          </w:p>
        </w:tc>
        <w:tc>
          <w:tcPr>
            <w:tcW w:w="2016" w:type="dxa"/>
          </w:tcPr>
          <w:p w:rsidR="0062321D" w:rsidRDefault="001A0FB6">
            <w:pPr>
              <w:spacing w:before="120" w:after="120" w:line="276" w:lineRule="auto"/>
              <w:rPr>
                <w:rFonts w:eastAsia="Times New Roman" w:cs="Times New Roman"/>
                <w:szCs w:val="20"/>
              </w:rPr>
            </w:pPr>
            <w:r>
              <w:rPr>
                <w:rFonts w:eastAsia="Times New Roman" w:cs="Times New Roman"/>
                <w:szCs w:val="20"/>
              </w:rPr>
              <w:t>6.6</w:t>
            </w:r>
          </w:p>
        </w:tc>
        <w:tc>
          <w:tcPr>
            <w:tcW w:w="2016" w:type="dxa"/>
          </w:tcPr>
          <w:p w:rsidR="0062321D" w:rsidRDefault="001A0FB6">
            <w:pPr>
              <w:spacing w:before="120" w:after="120" w:line="276" w:lineRule="auto"/>
              <w:rPr>
                <w:rFonts w:eastAsia="Times New Roman" w:cs="Times New Roman"/>
                <w:szCs w:val="20"/>
              </w:rPr>
            </w:pPr>
            <w:r>
              <w:rPr>
                <w:rFonts w:eastAsia="Times New Roman" w:cs="Times New Roman"/>
                <w:szCs w:val="20"/>
              </w:rPr>
              <w:t>4.7</w:t>
            </w:r>
          </w:p>
        </w:tc>
      </w:tr>
    </w:tbl>
    <w:p w:rsidR="0062321D" w:rsidRDefault="001A0FB6">
      <w:pPr>
        <w:rPr>
          <w:rFonts w:eastAsia="Times New Roman" w:cs="Times New Roman"/>
          <w:szCs w:val="20"/>
        </w:rPr>
      </w:pPr>
      <w:r>
        <w:rPr>
          <w:rFonts w:eastAsia="Times New Roman" w:cs="Times New Roman"/>
          <w:szCs w:val="20"/>
        </w:rPr>
        <w:t>Źródło: Główny Urząd Statystyczny, wykres CPI</w:t>
      </w:r>
    </w:p>
    <w:p w:rsidR="0062321D" w:rsidRDefault="0062321D">
      <w:pPr>
        <w:rPr>
          <w:rFonts w:eastAsia="Times New Roman" w:cs="Times New Roman"/>
          <w:color w:val="000000"/>
          <w:szCs w:val="20"/>
          <w:u w:color="000000"/>
        </w:rPr>
      </w:pPr>
      <w:hyperlink r:id="rId7" w:tooltip="Link do https://stat.gov.pl/wykres/1.html" w:history="1">
        <w:r w:rsidR="001A0FB6">
          <w:rPr>
            <w:rFonts w:eastAsia="Times New Roman" w:cs="Times New Roman"/>
            <w:color w:val="000000"/>
            <w:szCs w:val="20"/>
          </w:rPr>
          <w:t>https://stat.gov.pl/wykres/1.html</w:t>
        </w:r>
      </w:hyperlink>
      <w:r w:rsidR="001A0FB6">
        <w:rPr>
          <w:rFonts w:eastAsia="Times New Roman" w:cs="Times New Roman"/>
          <w:color w:val="000000"/>
          <w:szCs w:val="20"/>
        </w:rPr>
        <w:t> </w:t>
      </w:r>
      <w:r w:rsidR="001A0FB6">
        <w:rPr>
          <w:rFonts w:eastAsia="Times New Roman" w:cs="Times New Roman"/>
          <w:szCs w:val="20"/>
        </w:rPr>
        <w:t xml:space="preserve"> [dostęp 16.12.24]</w:t>
      </w:r>
    </w:p>
    <w:p w:rsidR="0062321D" w:rsidRDefault="001A0FB6">
      <w:pPr>
        <w:spacing w:before="120" w:after="120" w:line="276" w:lineRule="auto"/>
        <w:ind w:firstLine="340"/>
        <w:rPr>
          <w:rFonts w:eastAsia="Times New Roman" w:cs="Times New Roman"/>
          <w:color w:val="000000"/>
          <w:szCs w:val="20"/>
        </w:rPr>
      </w:pPr>
      <w:r>
        <w:rPr>
          <w:rFonts w:eastAsia="Times New Roman" w:cs="Times New Roman"/>
          <w:color w:val="000000"/>
          <w:szCs w:val="20"/>
          <w:u w:color="000000"/>
        </w:rPr>
        <w:t>Wyliczono</w:t>
      </w:r>
      <w:r>
        <w:rPr>
          <w:rFonts w:eastAsia="Times New Roman" w:cs="Times New Roman"/>
          <w:color w:val="000000"/>
          <w:szCs w:val="20"/>
          <w:u w:color="000000"/>
        </w:rPr>
        <w:t xml:space="preserve"> wartości podwyższone o poziom inflacji - średnia cena obu firm za 1 </w:t>
      </w:r>
      <w:proofErr w:type="spellStart"/>
      <w:r>
        <w:rPr>
          <w:rFonts w:eastAsia="Times New Roman" w:cs="Times New Roman"/>
          <w:color w:val="000000"/>
          <w:szCs w:val="20"/>
          <w:u w:color="000000"/>
        </w:rPr>
        <w:t>m³</w:t>
      </w:r>
      <w:proofErr w:type="spellEnd"/>
      <w:r>
        <w:rPr>
          <w:rFonts w:eastAsia="Times New Roman" w:cs="Times New Roman"/>
          <w:color w:val="000000"/>
          <w:szCs w:val="20"/>
          <w:u w:color="000000"/>
        </w:rPr>
        <w:t xml:space="preserve"> wynosi: 319,20 x 1,047= 334,20 zł. </w:t>
      </w:r>
    </w:p>
    <w:p w:rsidR="0062321D" w:rsidRDefault="001A0FB6">
      <w:pPr>
        <w:spacing w:before="120" w:after="120" w:line="276" w:lineRule="auto"/>
        <w:ind w:firstLine="340"/>
        <w:rPr>
          <w:rFonts w:eastAsia="Times New Roman" w:cs="Times New Roman"/>
          <w:color w:val="000000"/>
          <w:szCs w:val="20"/>
        </w:rPr>
      </w:pPr>
      <w:r>
        <w:rPr>
          <w:rFonts w:eastAsia="Times New Roman" w:cs="Times New Roman"/>
          <w:color w:val="000000"/>
          <w:szCs w:val="20"/>
          <w:u w:color="000000"/>
        </w:rPr>
        <w:t>W przypadku gdy odpady komunalne nie są zbierane i odbierane w sposób selektywny wówczas cena odbioru za 1 </w:t>
      </w:r>
      <w:proofErr w:type="spellStart"/>
      <w:r>
        <w:rPr>
          <w:rFonts w:eastAsia="Times New Roman" w:cs="Times New Roman"/>
          <w:color w:val="000000"/>
          <w:szCs w:val="20"/>
          <w:u w:color="000000"/>
        </w:rPr>
        <w:t>m³</w:t>
      </w:r>
      <w:proofErr w:type="spellEnd"/>
      <w:r>
        <w:rPr>
          <w:rFonts w:eastAsia="Times New Roman" w:cs="Times New Roman"/>
          <w:color w:val="000000"/>
          <w:szCs w:val="20"/>
          <w:u w:color="000000"/>
        </w:rPr>
        <w:t xml:space="preserve"> wynosi dwukrotność stawki górnej za od</w:t>
      </w:r>
      <w:r>
        <w:rPr>
          <w:rFonts w:eastAsia="Times New Roman" w:cs="Times New Roman"/>
          <w:color w:val="000000"/>
          <w:szCs w:val="20"/>
          <w:u w:color="000000"/>
        </w:rPr>
        <w:t>pady, które są zbierane i odbierane w sposób selektywny tj. 668,40 zł za 1 </w:t>
      </w:r>
      <w:proofErr w:type="spellStart"/>
      <w:r>
        <w:rPr>
          <w:rFonts w:eastAsia="Times New Roman" w:cs="Times New Roman"/>
          <w:color w:val="000000"/>
          <w:szCs w:val="20"/>
          <w:u w:color="000000"/>
        </w:rPr>
        <w:t>m³</w:t>
      </w:r>
      <w:proofErr w:type="spellEnd"/>
      <w:r>
        <w:rPr>
          <w:rFonts w:eastAsia="Times New Roman" w:cs="Times New Roman"/>
          <w:color w:val="000000"/>
          <w:szCs w:val="20"/>
          <w:u w:color="000000"/>
        </w:rPr>
        <w:t>.</w:t>
      </w:r>
    </w:p>
    <w:p w:rsidR="0062321D" w:rsidRDefault="0062321D">
      <w:pPr>
        <w:spacing w:before="120" w:after="120" w:line="276" w:lineRule="auto"/>
        <w:ind w:firstLine="340"/>
        <w:rPr>
          <w:rFonts w:eastAsia="Times New Roman" w:cs="Times New Roman"/>
          <w:szCs w:val="20"/>
        </w:rPr>
      </w:pPr>
    </w:p>
    <w:sectPr w:rsidR="0062321D" w:rsidSect="0062321D">
      <w:footerReference w:type="default" r:id="rId8"/>
      <w:endnotePr>
        <w:numFmt w:val="decimal"/>
      </w:endnotePr>
      <w:pgSz w:w="11906" w:h="16838"/>
      <w:pgMar w:top="1417" w:right="1020" w:bottom="992" w:left="102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321D" w:rsidRDefault="0062321D" w:rsidP="0062321D">
      <w:r>
        <w:separator/>
      </w:r>
    </w:p>
  </w:endnote>
  <w:endnote w:type="continuationSeparator" w:id="0">
    <w:p w:rsidR="0062321D" w:rsidRDefault="0062321D" w:rsidP="006232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62321D">
      <w:tc>
        <w:tcPr>
          <w:tcW w:w="6577" w:type="dxa"/>
          <w:tcBorders>
            <w:top w:val="single" w:sz="4" w:space="0" w:color="auto"/>
            <w:left w:val="nil"/>
            <w:bottom w:val="nil"/>
            <w:right w:val="nil"/>
          </w:tcBorders>
          <w:tcMar>
            <w:top w:w="100" w:type="dxa"/>
          </w:tcMar>
        </w:tcPr>
        <w:p w:rsidR="0062321D" w:rsidRDefault="001A0FB6">
          <w:pPr>
            <w:rPr>
              <w:sz w:val="18"/>
            </w:rPr>
          </w:pPr>
          <w:r>
            <w:rPr>
              <w:sz w:val="18"/>
            </w:rPr>
            <w:t>Id: 16D5C9CD-F5E2-41A5-81B1-6005BB4E9257. Projekt</w:t>
          </w:r>
        </w:p>
      </w:tc>
      <w:tc>
        <w:tcPr>
          <w:tcW w:w="3289" w:type="dxa"/>
          <w:tcBorders>
            <w:top w:val="single" w:sz="4" w:space="0" w:color="auto"/>
            <w:left w:val="nil"/>
            <w:bottom w:val="nil"/>
            <w:right w:val="nil"/>
          </w:tcBorders>
          <w:tcMar>
            <w:top w:w="100" w:type="dxa"/>
          </w:tcMar>
        </w:tcPr>
        <w:p w:rsidR="0062321D" w:rsidRDefault="001A0FB6">
          <w:pPr>
            <w:jc w:val="right"/>
            <w:rPr>
              <w:sz w:val="18"/>
            </w:rPr>
          </w:pPr>
          <w:r>
            <w:rPr>
              <w:sz w:val="18"/>
            </w:rPr>
            <w:t xml:space="preserve">Strona </w:t>
          </w:r>
          <w:r w:rsidR="0062321D">
            <w:rPr>
              <w:sz w:val="18"/>
            </w:rPr>
            <w:fldChar w:fldCharType="begin"/>
          </w:r>
          <w:r>
            <w:rPr>
              <w:sz w:val="18"/>
            </w:rPr>
            <w:instrText>PAGE</w:instrText>
          </w:r>
          <w:r>
            <w:rPr>
              <w:sz w:val="18"/>
            </w:rPr>
            <w:fldChar w:fldCharType="separate"/>
          </w:r>
          <w:r>
            <w:rPr>
              <w:noProof/>
              <w:sz w:val="18"/>
            </w:rPr>
            <w:t>1</w:t>
          </w:r>
          <w:r w:rsidR="0062321D">
            <w:rPr>
              <w:sz w:val="18"/>
            </w:rPr>
            <w:fldChar w:fldCharType="end"/>
          </w:r>
        </w:p>
      </w:tc>
    </w:tr>
  </w:tbl>
  <w:p w:rsidR="0062321D" w:rsidRDefault="0062321D">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62321D">
      <w:tc>
        <w:tcPr>
          <w:tcW w:w="6577" w:type="dxa"/>
          <w:tcBorders>
            <w:top w:val="single" w:sz="4" w:space="0" w:color="auto"/>
            <w:left w:val="nil"/>
            <w:bottom w:val="nil"/>
            <w:right w:val="nil"/>
          </w:tcBorders>
          <w:tcMar>
            <w:top w:w="100" w:type="dxa"/>
          </w:tcMar>
        </w:tcPr>
        <w:p w:rsidR="0062321D" w:rsidRDefault="001A0FB6">
          <w:pPr>
            <w:rPr>
              <w:sz w:val="18"/>
            </w:rPr>
          </w:pPr>
          <w:r>
            <w:rPr>
              <w:sz w:val="18"/>
            </w:rPr>
            <w:t>Id: 16D5C9CD-F5E2-41A5-81B1-6005BB4E9257. Projekt</w:t>
          </w:r>
        </w:p>
      </w:tc>
      <w:tc>
        <w:tcPr>
          <w:tcW w:w="3289" w:type="dxa"/>
          <w:tcBorders>
            <w:top w:val="single" w:sz="4" w:space="0" w:color="auto"/>
            <w:left w:val="nil"/>
            <w:bottom w:val="nil"/>
            <w:right w:val="nil"/>
          </w:tcBorders>
          <w:tcMar>
            <w:top w:w="100" w:type="dxa"/>
          </w:tcMar>
        </w:tcPr>
        <w:p w:rsidR="0062321D" w:rsidRDefault="001A0FB6">
          <w:pPr>
            <w:jc w:val="right"/>
            <w:rPr>
              <w:sz w:val="18"/>
            </w:rPr>
          </w:pPr>
          <w:r>
            <w:rPr>
              <w:sz w:val="18"/>
            </w:rPr>
            <w:t xml:space="preserve">Strona </w:t>
          </w:r>
          <w:r w:rsidR="0062321D">
            <w:rPr>
              <w:sz w:val="18"/>
            </w:rPr>
            <w:fldChar w:fldCharType="begin"/>
          </w:r>
          <w:r>
            <w:rPr>
              <w:sz w:val="18"/>
            </w:rPr>
            <w:instrText>PAGE</w:instrText>
          </w:r>
          <w:r>
            <w:rPr>
              <w:sz w:val="18"/>
            </w:rPr>
            <w:fldChar w:fldCharType="separate"/>
          </w:r>
          <w:r>
            <w:rPr>
              <w:noProof/>
              <w:sz w:val="18"/>
            </w:rPr>
            <w:t>3</w:t>
          </w:r>
          <w:r w:rsidR="0062321D">
            <w:rPr>
              <w:sz w:val="18"/>
            </w:rPr>
            <w:fldChar w:fldCharType="end"/>
          </w:r>
        </w:p>
      </w:tc>
    </w:tr>
  </w:tbl>
  <w:p w:rsidR="0062321D" w:rsidRDefault="0062321D">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321D" w:rsidRDefault="0062321D" w:rsidP="0062321D">
      <w:r>
        <w:separator/>
      </w:r>
    </w:p>
  </w:footnote>
  <w:footnote w:type="continuationSeparator" w:id="0">
    <w:p w:rsidR="0062321D" w:rsidRDefault="0062321D" w:rsidP="0062321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1A0FB6"/>
    <w:rsid w:val="0062321D"/>
    <w:rsid w:val="00A77B3E"/>
    <w:rsid w:val="00CA2A5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2321D"/>
    <w:rPr>
      <w:rFonts w:ascii="Arial" w:eastAsia="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Prosty1">
    <w:name w:val="Table Simple 1"/>
    <w:basedOn w:val="Standardowy"/>
    <w:rsid w:val="0062321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stat.gov.pl/wykres/1.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938</Words>
  <Characters>5363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6289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zmieniająca uchwałę nr LXXXIII/1044/23 Rady Miejskiej w^Bytomiu w^sprawie określenia górnych stawek opłat ponoszonych przez właścicieli nieruchomości, którzy pozbywają się z^terenu nieruchomości nieczystości ciekłych oraz właścicieli nieruchomości, którzy nie^są obowiązani do ponoszenia opłat za gospodarowanie odpadami komunalnymi na rzecz gminy Bytom</dc:subject>
  <dc:creator>pgolus</dc:creator>
  <cp:lastModifiedBy>asteuer</cp:lastModifiedBy>
  <cp:revision>2</cp:revision>
  <dcterms:created xsi:type="dcterms:W3CDTF">2025-01-28T07:35:00Z</dcterms:created>
  <dcterms:modified xsi:type="dcterms:W3CDTF">2025-01-28T07:35:00Z</dcterms:modified>
  <cp:category>Akt prawny</cp:category>
</cp:coreProperties>
</file>