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XII/100/24</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16 grudnia 2024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wieloletniej prognozy finansowej miasta Bytomia na lata 2025-2046</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107)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226,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227,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228,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229,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230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258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1530,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rozporządzenia Ministra Finansów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stycznia 2013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wieloletniej prognozy finansowej jednostki samorządu terytorialnego (Dz.U.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83)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Uchwala się wieloletnią prognozę finansową miasta Bytomia na lata 2025-2046 określającą:</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dochody bieżące oraz wydatki bieżące budżetu miasta,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tym na obsługę długu, gwarancje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poręczenia;</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dochody majątkowe,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tym dochody ze sprzedaży majątku oraz wydatki majątkowe budżetu miasta;</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wynik budżetu miasta;</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przeznaczenie nadwyżki;</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przychody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rozchody budżetu miasta,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uwzględnieniem długu zaciągniętego oraz planowanego do zaciągnięcia;</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6) </w:t>
      </w:r>
      <w:r>
        <w:rPr>
          <w:rFonts w:ascii="Arial" w:eastAsia="Arial" w:hAnsi="Arial" w:cs="Arial"/>
          <w:b w:val="0"/>
          <w:caps w:val="0"/>
          <w:strike w:val="0"/>
          <w:color w:val="auto"/>
          <w:sz w:val="24"/>
          <w:u w:val="none"/>
        </w:rPr>
        <w:t>kwotę długu miasta,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tym relacje,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których mowa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242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243 uofp oraz sposób sfinansowania spłaty długu;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7) </w:t>
      </w:r>
      <w:r>
        <w:rPr>
          <w:rFonts w:ascii="Arial" w:eastAsia="Arial" w:hAnsi="Arial" w:cs="Arial"/>
          <w:b w:val="0"/>
          <w:caps w:val="0"/>
          <w:strike w:val="0"/>
          <w:color w:val="auto"/>
          <w:sz w:val="24"/>
          <w:u w:val="none"/>
        </w:rPr>
        <w:t>kwoty wydatków bieżących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majątkowych wynikających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limitów wydatków na planowane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realizowane przedsięwzięcia,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których mowa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niniejszej uchwały,</w:t>
      </w:r>
    </w:p>
    <w:p w:rsidR="00A77B3E">
      <w:pPr>
        <w:keepNext w:val="0"/>
        <w:keepLines/>
        <w:spacing w:before="120" w:after="120" w:line="240" w:lineRule="auto"/>
        <w:ind w:left="567" w:right="0" w:hanging="113"/>
        <w:jc w:val="left"/>
        <w:rPr>
          <w:rFonts w:ascii="Arial" w:eastAsia="Arial" w:hAnsi="Arial" w:cs="Arial"/>
          <w:b w:val="0"/>
          <w:caps w:val="0"/>
          <w:strike w:val="0"/>
          <w:color w:val="auto"/>
          <w:sz w:val="24"/>
          <w:u w:val="none"/>
        </w:rPr>
      </w:pPr>
      <w:r>
        <w:t>- </w:t>
      </w:r>
      <w:r>
        <w:rPr>
          <w:rFonts w:ascii="Arial" w:eastAsia="Arial" w:hAnsi="Arial" w:cs="Arial"/>
          <w:b w:val="0"/>
          <w:caps w:val="0"/>
          <w:strike w:val="0"/>
          <w:color w:val="auto"/>
          <w:sz w:val="24"/>
          <w:u w:val="none"/>
        </w:rPr>
        <w:t>zgodnie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załącznikiem nr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do niniejszej uchwały.</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Ustala się przedsięwzięcia wieloletnie realizowane przez miasto, zgodnie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wykazem stanowiącym załącznik nr 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do niniejszej uchwały.</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Do wieloletniej prognozy finansowej dołącza się objaśnienia przyjętych wartości.</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sz w:val="24"/>
        </w:rPr>
        <w:t>1. </w:t>
      </w:r>
      <w:r>
        <w:rPr>
          <w:rFonts w:ascii="Arial" w:eastAsia="Arial" w:hAnsi="Arial" w:cs="Arial"/>
          <w:b w:val="0"/>
          <w:i w:val="0"/>
          <w:caps w:val="0"/>
          <w:strike w:val="0"/>
          <w:color w:val="auto"/>
          <w:sz w:val="24"/>
          <w:u w:val="none"/>
          <w:vertAlign w:val="baseline"/>
        </w:rPr>
        <w:t>Upoważnia się Prezydenta Miasta do:</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zaciągania zobowiązań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realizacją przedsięwzięć,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zaciągania zobowiązań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tytułu umów, których realizacja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budżetowym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latach następnych jest niezbędna dla zapewnienia ciągłości działania miasta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 których wynikające płatności wykraczają poza rok budżetowy;</w:t>
      </w:r>
    </w:p>
    <w:p w:rsidR="00A77B3E">
      <w:pPr>
        <w:keepNext w:val="0"/>
        <w:keepLines w:val="0"/>
        <w:spacing w:before="120" w:after="120" w:line="240"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dokonywania zmian limitów zobowiązań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kwot wydatków na realizację przedsięwzięcia finansowanego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udziałem środków europejskich albo środków,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ust.1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związku ze zmianami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realizacji tego przedsięwzięcia,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ile zmiany te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pogorszą wyniku budżetu dla każdego roku objętego wieloletnią prognozą finansową. Upoważnienie to obejmuje także upoważnienie do dokonywania zmian środków przeznaczonych na współfinansowanie realizacji przedsięwzięć,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zdaniu pierwszym,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wkładu własnego beneficjenta, oraz wynikających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rozstrzygnięć konkursów,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zasadach realizacji programów.</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Upoważnia się Prezydenta Miasta do przekazania uprawnień do zaciągania zobowiązań,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kierownikom jednostek organizacyjnych miasta.</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6. </w:t>
      </w:r>
      <w:r>
        <w:rPr>
          <w:rFonts w:ascii="Arial" w:eastAsia="Arial" w:hAnsi="Arial" w:cs="Arial"/>
          <w:b w:val="0"/>
          <w:i w:val="0"/>
          <w:caps w:val="0"/>
          <w:strike w:val="0"/>
          <w:color w:val="000000"/>
          <w:sz w:val="24"/>
          <w:u w:val="none" w:color="000000"/>
          <w:vertAlign w:val="baseline"/>
        </w:rPr>
        <w:t>Z dniem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traci moc uchwała nr LXXXVII/1095/23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wieloletniej prognozy finansowej miasta Bytomia na lata 2024-2046.</w:t>
      </w:r>
    </w:p>
    <w:p w:rsidR="00A77B3E">
      <w:pPr>
        <w:keepNext/>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7.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dniem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stycznia 2025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keepLines/>
        <w:spacing w:before="120" w:after="120" w:line="240"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 </w:t>
      </w:r>
    </w:p>
    <w:p w:rsidR="00A77B3E">
      <w:pPr>
        <w:keepNext/>
        <w:spacing w:before="0" w:after="0"/>
        <w:rPr>
          <w:rFonts w:ascii="Arial" w:eastAsia="Arial" w:hAnsi="Arial" w:cs="Arial"/>
          <w:b w:val="0"/>
          <w:i w:val="0"/>
          <w:caps w:val="0"/>
          <w:strike w:val="0"/>
          <w:color w:val="000000"/>
          <w:sz w:val="24"/>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pPr>
      <w:r>
        <w:t>Załącznik Nr 1 do uchwały</w:t>
      </w:r>
      <w:r>
        <w:rPr>
          <w:rFonts w:ascii="Arial" w:eastAsia="Arial" w:hAnsi="Arial" w:cs="Arial"/>
          <w:b w:val="0"/>
          <w:i w:val="0"/>
          <w:caps w:val="0"/>
          <w:strike w:val="0"/>
          <w:color w:val="000000"/>
          <w:sz w:val="24"/>
          <w:u w:val="none" w:color="000000"/>
          <w:vertAlign w:val="baseline"/>
        </w:rPr>
        <w:t xml:space="preserve"> Nr XII/100/24</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16 grudnia 2024 r.</w:t>
      </w:r>
      <w:r>
        <w:rPr>
          <w:rFonts w:ascii="Arial" w:eastAsia="Arial" w:hAnsi="Arial" w:cs="Arial"/>
          <w:b w:val="0"/>
          <w:i w:val="0"/>
          <w:caps w:val="0"/>
          <w:strike w:val="0"/>
          <w:color w:val="000000"/>
          <w:sz w:val="24"/>
          <w:u w:val="none" w:color="000000"/>
          <w:vertAlign w:val="baseline"/>
        </w:rPr>
        <w:br/>
      </w:r>
      <w:hyperlink r:id="rId5" w:history="1">
        <w:r>
          <w:rPr>
            <w:rStyle w:val="Hyperlink"/>
            <w:rFonts w:ascii="Arial" w:eastAsia="Arial" w:hAnsi="Arial" w:cs="Arial"/>
            <w:b w:val="0"/>
            <w:i w:val="0"/>
            <w:caps w:val="0"/>
            <w:strike w:val="0"/>
            <w:color w:val="000000"/>
            <w:sz w:val="24"/>
            <w:u w:val="none" w:color="000000"/>
            <w:vertAlign w:val="baseline"/>
          </w:rPr>
          <w:t>Zalacznik1.pdf</w:t>
        </w:r>
      </w:hyperlink>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sectPr>
          <w:footerReference w:type="default" r:id="rId6"/>
          <w:endnotePr>
            <w:numFmt w:val="decimal"/>
          </w:endnotePr>
          <w:type w:val="nextPage"/>
          <w:pgSz w:w="11906" w:h="16838"/>
          <w:pgMar w:top="1417" w:right="1020" w:bottom="992" w:left="1020" w:header="708" w:footer="708" w:gutter="0"/>
          <w:cols w:space="708"/>
          <w:docGrid w:linePitch="360"/>
        </w:sectPr>
      </w:pPr>
    </w:p>
    <w:p w:rsidR="00A77B3E">
      <w:pPr>
        <w:keepNext/>
        <w:spacing w:before="280" w:after="280" w:line="240" w:lineRule="auto"/>
        <w:ind w:left="4535" w:right="0" w:firstLine="0"/>
        <w:jc w:val="left"/>
        <w:rPr>
          <w:rFonts w:ascii="Arial" w:eastAsia="Arial" w:hAnsi="Arial" w:cs="Arial"/>
          <w:b w:val="0"/>
          <w:i w:val="0"/>
          <w:caps w:val="0"/>
          <w:strike w:val="0"/>
          <w:color w:val="000000"/>
          <w:sz w:val="24"/>
          <w:u w:val="none" w:color="000000"/>
          <w:vertAlign w:val="baseline"/>
        </w:rPr>
      </w:pPr>
      <w:r>
        <w:t>Załącznik Nr 2 do uchwały</w:t>
      </w:r>
      <w:r>
        <w:t xml:space="preserve"> Nr XII/100/24</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16 grudnia 2024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02"/>
        <w:gridCol w:w="2626"/>
        <w:gridCol w:w="1040"/>
        <w:gridCol w:w="278"/>
        <w:gridCol w:w="304"/>
        <w:gridCol w:w="724"/>
        <w:gridCol w:w="638"/>
        <w:gridCol w:w="638"/>
        <w:gridCol w:w="638"/>
        <w:gridCol w:w="638"/>
        <w:gridCol w:w="638"/>
        <w:gridCol w:w="638"/>
        <w:gridCol w:w="66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92"/>
        </w:trPr>
        <w:tc>
          <w:tcPr>
            <w:tcW w:w="9864" w:type="dxa"/>
            <w:gridSpan w:val="13"/>
            <w:tcBorders>
              <w:top w:val="nil"/>
              <w:left w:val="nil"/>
              <w:bottom w:val="nil"/>
              <w:right w:val="nil"/>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WYKAZ  PRZEDSIĘWZIĘĆ WIELOLETNICH</w:t>
            </w:r>
          </w:p>
        </w:tc>
      </w:tr>
      <w:tr>
        <w:tblPrEx>
          <w:tblW w:w="5000" w:type="pct"/>
          <w:tblCellMar>
            <w:left w:w="108" w:type="dxa"/>
            <w:right w:w="108" w:type="dxa"/>
          </w:tblCellMar>
        </w:tblPrEx>
        <w:trPr>
          <w:trHeight w:val="154"/>
        </w:trPr>
        <w:tc>
          <w:tcPr>
            <w:tcW w:w="402" w:type="dxa"/>
            <w:tcBorders>
              <w:top w:val="nil"/>
              <w:left w:val="nil"/>
              <w:bottom w:val="single" w:sz="2" w:space="0" w:color="000000"/>
              <w:right w:val="nil"/>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nil"/>
              <w:left w:val="nil"/>
              <w:bottom w:val="single" w:sz="2" w:space="0" w:color="000000"/>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p>
        </w:tc>
        <w:tc>
          <w:tcPr>
            <w:tcW w:w="1040" w:type="dxa"/>
            <w:tcBorders>
              <w:top w:val="nil"/>
              <w:left w:val="nil"/>
              <w:bottom w:val="single" w:sz="2" w:space="0" w:color="000000"/>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tcBorders>
              <w:top w:val="nil"/>
              <w:left w:val="nil"/>
              <w:bottom w:val="single" w:sz="2" w:space="0" w:color="000000"/>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304" w:type="dxa"/>
            <w:tcBorders>
              <w:top w:val="nil"/>
              <w:left w:val="nil"/>
              <w:bottom w:val="single" w:sz="2" w:space="0" w:color="000000"/>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724"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62"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60"/>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Lp</w:t>
            </w:r>
          </w:p>
        </w:tc>
        <w:tc>
          <w:tcPr>
            <w:tcW w:w="2626"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Nazwa i cel</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Jednostka odpowiedzialna lub koordynująca program</w:t>
            </w:r>
          </w:p>
        </w:tc>
        <w:tc>
          <w:tcPr>
            <w:tcW w:w="582"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Okres realizacji programu</w:t>
            </w:r>
          </w:p>
        </w:tc>
        <w:tc>
          <w:tcPr>
            <w:tcW w:w="72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Łączne nakłady finansowe</w:t>
            </w:r>
          </w:p>
        </w:tc>
        <w:tc>
          <w:tcPr>
            <w:tcW w:w="3828" w:type="dxa"/>
            <w:gridSpan w:val="6"/>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Limit zobowiązań</w:t>
            </w:r>
          </w:p>
        </w:tc>
      </w:tr>
      <w:tr>
        <w:tblPrEx>
          <w:tblW w:w="5000" w:type="pct"/>
          <w:tblCellMar>
            <w:left w:w="108" w:type="dxa"/>
            <w:right w:w="108" w:type="dxa"/>
          </w:tblCellMar>
        </w:tblPrEx>
        <w:trPr>
          <w:trHeight w:val="13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p>
        </w:tc>
        <w:tc>
          <w:tcPr>
            <w:tcW w:w="2626"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i w:val="0"/>
                <w:strike w:val="0"/>
                <w:color w:val="000000"/>
                <w:sz w:val="14"/>
                <w:u w:val="none"/>
                <w:vertAlign w:val="baseline"/>
              </w:rPr>
            </w:pP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p>
        </w:tc>
        <w:tc>
          <w:tcPr>
            <w:tcW w:w="27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od</w:t>
            </w:r>
          </w:p>
        </w:tc>
        <w:tc>
          <w:tcPr>
            <w:tcW w:w="30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do</w:t>
            </w:r>
          </w:p>
        </w:tc>
        <w:tc>
          <w:tcPr>
            <w:tcW w:w="72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2025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2026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2027</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2028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2029</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2030</w:t>
            </w: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Wydatki na przedsięwzięcia – ogółem (1.1+1.2+1.3), z tego:</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890 886 007</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232 734 396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76 439 786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74 815 615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54 390 658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6 364 874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1 444 316</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339 653 028</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1.a</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bieżące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344 944 134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68 382 186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32 044 591</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30 000 933</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10 855 693</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4 065 900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785 909</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87 260 234</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1.b</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majątkowe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545 941 873</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164 352 210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44 395 195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44 814 682</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43 534 965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2 298 974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658 407</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252 392 794</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1.1</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Wydatki na programy, projekty lub zadania związane z programami realizowanymi 
z udziałem środków, o których mowa w art. 5 ust.1 pkt 2 i 3 ustawy z dnia 27 sierpnia 2009 r. o finansach publicznych (Dz.U. z 2019 poz. 869, z późn. zm.), z tego:</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245 790 568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69 942 298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27 638 547</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1 583 598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88 643 339</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1.1.1</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bieżące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29 405 232</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20 495 202</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4 934 148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1 583 598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25 691 824</w:t>
            </w: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Program LIFE "Śląskie. Przywracamy Błękit"</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Inżynierii Środowiska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369 807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37 590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15 138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10 092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62 820</w:t>
            </w:r>
          </w:p>
        </w:tc>
      </w:tr>
      <w:tr>
        <w:tblPrEx>
          <w:tblW w:w="5000" w:type="pct"/>
          <w:tblCellMar>
            <w:left w:w="108" w:type="dxa"/>
            <w:right w:w="108" w:type="dxa"/>
          </w:tblCellMar>
        </w:tblPrEx>
        <w:trPr>
          <w:trHeight w:val="434"/>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Kompleksowe działania na rzecz poprawy jakości powietrza na terenie województwa śląskiego umożliwiające efektywne wdrożenie Programu ochrony powietrza dla województwa śląskiego</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Climate-4-CAST</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Inżynierii Środowiska, Wydział Kadr, Płac i Szkoleń</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992 553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294 854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276 072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570 926</w:t>
            </w:r>
          </w:p>
        </w:tc>
      </w:tr>
      <w:tr>
        <w:tblPrEx>
          <w:tblW w:w="5000" w:type="pct"/>
          <w:tblCellMar>
            <w:left w:w="108" w:type="dxa"/>
            <w:right w:w="108" w:type="dxa"/>
          </w:tblCellMar>
        </w:tblPrEx>
        <w:trPr>
          <w:trHeight w:val="70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Stworzenie narzędzia informatycznego wraz z metodologią gromadzenia danych dotyczących emisji gazów, identyfikacji celów klimatycznych oraz sposobów monitorowania tych celów. Dodatkowo powstaną założenia dla służb budżetowych w zakresie stworzenia budżetu emisji gazów oraz budżetu klimatycznego, co przyspieszy postęp miast w kierunku neutralności klimatycznej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EKOsprawni - przyszłość zaczyna się w nas</w:t>
            </w:r>
          </w:p>
        </w:tc>
        <w:tc>
          <w:tcPr>
            <w:tcW w:w="1040"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882"/>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Promowanie włączenia społecznego i różnorodności, zrównoważenia środowiskowego i edukacji cyfrowej poprzez podnoszenie świadomości wśród uczestników projektu, aktywne uczestnictwo w sieci organizacji Erasmus, dzielenie się wiedzą oraz wybieranie najlepszych rozwiązań dla swoich działań.
2. Podniesienie kompetencji zawodowych nauczycieli w pracy z osobami o specjalnych potrzebach edukacyjnych.
3. Rozwinięcie potencjału europejskiego placówki poprzez międzynarodową współpracę.
4. Promocja placówki w środowisku lokalnym.
5. Rozwój kompetencji uczniów, motywowanie do społecznego włączenia się poprzez udział w mobilnościach, działaniach wirtualnych i stacjonarnych.
6. Podniesienie świadomości ekologicznej wśród wszystkich uczestników projektu.
7. Zastosowanie innowacyjnych metod i narzędzi pracy z uczniem o specjalnych potrzebach edukacyjnych, zapewnienie kreatywnych i innowacyjnych rozwiązań dla szkoły.</w:t>
            </w:r>
          </w:p>
        </w:tc>
        <w:tc>
          <w:tcPr>
            <w:tcW w:w="1040"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Szkoła Podstawowa Specjalna  nr 40</w:t>
            </w:r>
          </w:p>
        </w:tc>
        <w:tc>
          <w:tcPr>
            <w:tcW w:w="27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249 253</w:t>
            </w: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170 000</w:t>
            </w: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11 033</w:t>
            </w: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181 033</w:t>
            </w: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 Edukacja Szkolna w Akcji 1 - mobilność uczniów i kadry w edukacji szkolnej  </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Branżowa Szkoła 
I Stopnia nr 8 Specjalna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78 254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4 552</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4 552</w:t>
            </w:r>
          </w:p>
        </w:tc>
      </w:tr>
      <w:tr>
        <w:tblPrEx>
          <w:tblW w:w="5000" w:type="pct"/>
          <w:tblCellMar>
            <w:left w:w="108" w:type="dxa"/>
            <w:right w:w="108" w:type="dxa"/>
          </w:tblCellMar>
        </w:tblPrEx>
        <w:trPr>
          <w:trHeight w:val="140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Podniesienie kompetencji zawodowych nauczycieli w pracy z uczniami o specjalnych potrzebach edukacyjnych.
2. Zapobieganie wypaleniu zawodowemu, podniesienie kompetencji osobistych nauczycieli oraz umiejętności zapobieganiu konfliktom.
3. Zwiększenie współpracy z rodzicami.
4. Rozwinięcie potencjału europejskiego szkoły poprzez współpracę międzynarodową i transfer dobrych praktyk.
5. Zmodernizowanie modelu zarządzania szkołą oraz promocja placówki w środowisku lokalnym.
6. Rozwój kompetencji uczniów, motywowanie do społecznego włączenia się poprzez udział w mobilnościach oraz w działaniach wirtualnych i stacjonarnych.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Europa otwarta dla Technikum nr 4</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Technikum nr 4</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254 997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254 997</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254 997</w:t>
            </w:r>
          </w:p>
        </w:tc>
      </w:tr>
      <w:tr>
        <w:tblPrEx>
          <w:tblW w:w="5000" w:type="pct"/>
          <w:tblCellMar>
            <w:left w:w="108" w:type="dxa"/>
            <w:right w:w="108" w:type="dxa"/>
          </w:tblCellMar>
        </w:tblPrEx>
        <w:trPr>
          <w:trHeight w:val="428"/>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jakości kształcenia zawodowego i budowanie systemu jakości pracy szkoły, zapewniającego zaspokojenie potrzeb uczniów w zakresie wychowania, kształcenia i rozwoju zawodowego</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Staże zawodowe w zagranicznych przedsiębiorstwach dla uczniów ZST</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Zespół Szkół Technicznych</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264 885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221 275</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221 275</w:t>
            </w:r>
          </w:p>
        </w:tc>
      </w:tr>
      <w:tr>
        <w:tblPrEx>
          <w:tblW w:w="5000" w:type="pct"/>
          <w:tblCellMar>
            <w:left w:w="108" w:type="dxa"/>
            <w:right w:w="108" w:type="dxa"/>
          </w:tblCellMar>
        </w:tblPrEx>
        <w:trPr>
          <w:trHeight w:val="354"/>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kompetencji zawodowych uczniów ze szczególnym zwróceniem uwagi na szkolenie zawodowe prowadzone w realnym środowisku pracy za granicą</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Kompetencje zawodowe na całe życie - zagraniczne staże zawodowe dla uczniów i nauczycieli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Zespół Szkół Gastronomiczno - Hotelarskich</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283 150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228 150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206 869</w:t>
            </w:r>
          </w:p>
        </w:tc>
      </w:tr>
      <w:tr>
        <w:tblPrEx>
          <w:tblW w:w="5000" w:type="pct"/>
          <w:tblCellMar>
            <w:left w:w="108" w:type="dxa"/>
            <w:right w:w="108" w:type="dxa"/>
          </w:tblCellMar>
        </w:tblPrEx>
        <w:trPr>
          <w:trHeight w:val="47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kompetencji zawodowych uczniów ze szczególnym zwróceniem uwagi na szkolenie zawodowe prowadzone w realnym środowisku pracy za granicą oraz podniesienie kompetencji językowych przez nauczycieli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54"/>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poziomu cyberbezpieczeństwa Gminy Bytom
(w zakresie wydatków bieżących)</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Informatyki</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216 660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129 996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86 664</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216 660</w:t>
            </w:r>
          </w:p>
        </w:tc>
      </w:tr>
      <w:tr>
        <w:tblPrEx>
          <w:tblW w:w="5000" w:type="pct"/>
          <w:tblCellMar>
            <w:left w:w="108" w:type="dxa"/>
            <w:right w:w="108" w:type="dxa"/>
          </w:tblCellMar>
        </w:tblPrEx>
        <w:trPr>
          <w:trHeight w:val="434"/>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Zniwelowanie niedoborów w obszarach bezpieczeństwa informacji Urzędu Miejskiego poprzez szkolenia i rozbudowę sieci komputerowej o elementy podnoszące poziom bezpieczeństwa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Centrum Wsparcia Rodziny - CWR 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Miejski Ośrodek Pomocy Rodzinie</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3 422 400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1 219 785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1 261 573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726 042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3 207 400</w:t>
            </w:r>
          </w:p>
        </w:tc>
      </w:tr>
      <w:tr>
        <w:tblPrEx>
          <w:tblW w:w="5000" w:type="pct"/>
          <w:tblCellMar>
            <w:left w:w="108" w:type="dxa"/>
            <w:right w:w="108" w:type="dxa"/>
          </w:tblCellMar>
        </w:tblPrEx>
        <w:trPr>
          <w:trHeight w:val="484"/>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Rozwój, podniesienie jakości oraz dostępności usług wsparcia dla rodzin, w tym rodzin przeżywających trudności w wypełnianiu funkcji opiekuńczo-wychowawczych lub w kryzysie oraz dla dzieci powracających do rodzin biologicznych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Rozwój energetyki rozproszonej opartej o odnawialne źródła energii na terenie Gminy Bytom</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Wydział Inżynierii Środowiska, Wydział Komunikacji Medialnej i Promocji, Wydział Administracyjny, Wydział Kadr, Płac
i Szkoleń</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1 637 531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1 164 271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473 260</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1 637 531</w:t>
            </w:r>
          </w:p>
        </w:tc>
      </w:tr>
      <w:tr>
        <w:tblPrEx>
          <w:tblW w:w="5000" w:type="pct"/>
          <w:tblCellMar>
            <w:left w:w="108" w:type="dxa"/>
            <w:right w:w="108" w:type="dxa"/>
          </w:tblCellMar>
        </w:tblPrEx>
        <w:trPr>
          <w:trHeight w:val="874"/>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jakości powietrza, w tym ograniczenie emisji CO2 oraz pyłu PM10 poprzez zwiększenie poziomu produkcji energii ze źródeł odnawialnych tj. instalacji PV (fotowoltaicznych), magazynów energii, instalacji pomp ciepła, systemów zarządzania energią. Program skierowany jest dla mieszkańców Gminy Bytom, którzy mogą otrzymać maksymalny, dopuszczalny poziom dofinansowania kosztów kwalifikowanych do 85% poniesionych kosztów</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Rozwój energetyki rozproszonej opartej o odnawialne źródła energii na terenie Gminy Bytom i Radzionków</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Wydział Inżynierii Środowiska, Wydział Komunikacji Medialnej i Promocji, Wydział Administracyjny, Wydział Kadr, Płac
i Szkoleń</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2 678 860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1 932 202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746 658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2 678 860</w:t>
            </w:r>
          </w:p>
        </w:tc>
      </w:tr>
      <w:tr>
        <w:tblPrEx>
          <w:tblW w:w="5000" w:type="pct"/>
          <w:tblCellMar>
            <w:left w:w="108" w:type="dxa"/>
            <w:right w:w="108" w:type="dxa"/>
          </w:tblCellMar>
        </w:tblPrEx>
        <w:trPr>
          <w:trHeight w:val="88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jakości powietrza, w tym ograniczenie emisji CO2 oraz pyłu PM10 poprzez zwiększenie poziomu produkcji energii ze źródeł odnawialnych tj. instalacji PV (fotowoltaicznych), magazynów energii, instalacji pomp ciepła, systemów zarządzania energią. Program skierowany jest dla mieszkańców Gminy Bytom, którzy mogą otrzymać maksymalny, dopuszczalny poziom dofinansowania kosztów kwalifikowanych do 85% poniesionych kosztów</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Bytomscy technicy z europejskimi kwalifikacjami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Państwowe Szkoły Budownictwa-Zespół Szkół</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458 506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458 506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458 506</w:t>
            </w:r>
          </w:p>
        </w:tc>
      </w:tr>
      <w:tr>
        <w:tblPrEx>
          <w:tblW w:w="5000" w:type="pct"/>
          <w:tblCellMar>
            <w:left w:w="108" w:type="dxa"/>
            <w:right w:w="108" w:type="dxa"/>
          </w:tblCellMar>
        </w:tblPrEx>
        <w:trPr>
          <w:trHeight w:val="23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Krótkoterminowa mobilność edukacyjna osób uczących się w ramach kształcenia i szkolenia zawodowego</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Czas na zmiany-nowe perspektywy (RAZEM)
z Centrum Integracji Społecznej</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 Urząd Miejski
w Bytomiu, Wydział Polityki Społecznej, Centrum Integracji Społecznej</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1 126 098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554 066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415 550</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52 081</w:t>
            </w:r>
          </w:p>
        </w:tc>
      </w:tr>
      <w:tr>
        <w:tblPrEx>
          <w:tblW w:w="5000" w:type="pct"/>
          <w:tblCellMar>
            <w:left w:w="108" w:type="dxa"/>
            <w:right w:w="108" w:type="dxa"/>
          </w:tblCellMar>
        </w:tblPrEx>
        <w:trPr>
          <w:trHeight w:val="23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Odbudowanie zdolności do samodzielnego świadczenia pracy oraz pełnienia ról społecznych mieszkańców Bytomia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Biznes na zicher-100 tysięcy na start </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Powiatowy Urząd Pracy w Bytomiu</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5 363 053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5 292 430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52 471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5 344 901</w:t>
            </w:r>
          </w:p>
        </w:tc>
      </w:tr>
      <w:tr>
        <w:tblPrEx>
          <w:tblW w:w="5000" w:type="pct"/>
          <w:tblCellMar>
            <w:left w:w="108" w:type="dxa"/>
            <w:right w:w="108" w:type="dxa"/>
          </w:tblCellMar>
        </w:tblPrEx>
        <w:trPr>
          <w:trHeight w:val="80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Powstanie 44 nowych firm, trwałych działalności gospodarczych poprzez wsparcie w założeniu i prowadzeniu firm 26 kobiet i 18 mężczyzn pracujących lub zamieszkujących na terenie miasta Bytomia dotkniętych procesem transformacji, których status na rynku pracy pozwala na skorzystanie z instrumentu outplacement. Grupa docelowa to osoby zagrożone utratą pracy, przewidziane do zwolnienia lub zwolnione z przyczyn niedotyczących pracownika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Razem do celu</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Miejski Ośrodek Pomocy Rodzinie</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1 880 578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647 809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628 235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602 534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1 878 578</w:t>
            </w:r>
          </w:p>
        </w:tc>
      </w:tr>
      <w:tr>
        <w:tblPrEx>
          <w:tblW w:w="5000" w:type="pct"/>
          <w:tblCellMar>
            <w:left w:w="108" w:type="dxa"/>
            <w:right w:w="108" w:type="dxa"/>
          </w:tblCellMar>
        </w:tblPrEx>
        <w:trPr>
          <w:trHeight w:val="118"/>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Aktywizacja społeczna i zawodowa uczestników projektu</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54"/>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Razem możemy więcej - wsparcie dla Przedszkola Miejskiego Integracyjnego nr 8 i Przedszkola Miejskiego nr 63 im. Janusza Korczaka z Oddziałami Integracyjnymi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Edukacji / Przedszkole Miejskie Integracyjne nr 8 / Przedszkole Miejskie nr 63 im. Janusza Korczaka
z Oddziałami Integracyjnymi</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483 309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284 012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199 297</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483 309</w:t>
            </w:r>
          </w:p>
        </w:tc>
      </w:tr>
      <w:tr>
        <w:tblPrEx>
          <w:tblW w:w="5000" w:type="pct"/>
          <w:tblCellMar>
            <w:left w:w="108" w:type="dxa"/>
            <w:right w:w="108" w:type="dxa"/>
          </w:tblCellMar>
        </w:tblPrEx>
        <w:trPr>
          <w:trHeight w:val="632"/>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Wsparcie edukacji przedszkolnej poprzez organizację zajęć dodatkowych, podniesienie kwalifikacji zawodowych kadry oraz doposażenie przedszkoli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10"/>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Trampolina do sukcesu w szkole - wsparcie rozwoju edukacji przedszkolnej w bytomskich Przedszkolach Miejskich nr 33 i 58</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Edukacji / Przedszkole Miejskie nr 33 / Przedszkole Miejskie
nr 58</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348 982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243 577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105 405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348 982</w:t>
            </w:r>
          </w:p>
        </w:tc>
      </w:tr>
      <w:tr>
        <w:tblPrEx>
          <w:tblW w:w="5000" w:type="pct"/>
          <w:tblCellMar>
            <w:left w:w="108" w:type="dxa"/>
            <w:right w:w="108" w:type="dxa"/>
          </w:tblCellMar>
        </w:tblPrEx>
        <w:trPr>
          <w:trHeight w:val="31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Wsparcie edukacji przedszkolnej poprzez organizację zajęć dodatkowych, podniesienie kwalifikacji zawodowych nauczycieli oraz doposażenie przedszkoli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Nasza przyszłość zależy od działań na rzecz klimatu</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V Liceum Ogólnokształcące Mistrzostwa Sportowego</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69 844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69 844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69 844</w:t>
            </w:r>
          </w:p>
        </w:tc>
      </w:tr>
      <w:tr>
        <w:tblPrEx>
          <w:tblW w:w="5000" w:type="pct"/>
          <w:tblCellMar>
            <w:left w:w="108" w:type="dxa"/>
            <w:right w:w="108" w:type="dxa"/>
          </w:tblCellMar>
        </w:tblPrEx>
        <w:trPr>
          <w:trHeight w:val="23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Szkolenie kadry pedagogicznej w zakresie ekologicznych zachowań</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Nowe kwalifikacje zawodowe szansą na sukces</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Urząd Miejski w Bytomiu, Wydział Edukacji, Państwowe Szkoły Budownictwa, Zespół Szkół Administracyjno-Ekonomicznych i Ogólnokształcących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2 837 267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2 766 672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70 595</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2 837 267</w:t>
            </w:r>
          </w:p>
        </w:tc>
      </w:tr>
      <w:tr>
        <w:tblPrEx>
          <w:tblW w:w="5000" w:type="pct"/>
          <w:tblCellMar>
            <w:left w:w="108" w:type="dxa"/>
            <w:right w:w="108" w:type="dxa"/>
          </w:tblCellMar>
        </w:tblPrEx>
        <w:trPr>
          <w:trHeight w:val="718"/>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jakości kształcenia zawodowego, zgodnie z potrzebami rynku pracy z ukierunkowaniem
na branże rozwojowe w Państwowych Szkołach Budownictwa-Zespole Szkół, w Zespole Szkół Administracyjno-Ekonomicznych i Ogólnokształcących-Technikum nr 5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Wysokiej jakości szkolnictwo zawodowe szansą dla rozwoju podregionu bytomskiego</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Edukacji, Bytomski Ośrodek Edukacji, Zespół Szkół Mechaniczno-Elektronicznych, Zespół Szkół Technicznych</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2 153 764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2 143 633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10 131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2 153 764</w:t>
            </w:r>
          </w:p>
        </w:tc>
      </w:tr>
      <w:tr>
        <w:tblPrEx>
          <w:tblW w:w="5000" w:type="pct"/>
          <w:tblCellMar>
            <w:left w:w="108" w:type="dxa"/>
            <w:right w:w="108" w:type="dxa"/>
          </w:tblCellMar>
        </w:tblPrEx>
        <w:trPr>
          <w:trHeight w:val="62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Upowszechnienie i rozwój wysokiej jakości kształcenia zawodowego, zgodnie z potrzebami rynku pracy z ukierunkowaniem na branże rozwojowe w Zespole Szkół Mechaniczno-Elektronicznych, Zespole Szkół Technicznych oraz w Bytomskim Ośrodku Edukacji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Kształcenie w zawodach przyszłości - wsparcie procesów transformacji na Śląsku</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Edukacji, Technikum
nr 4</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1 647 281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1 647 281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1 647 281</w:t>
            </w:r>
          </w:p>
        </w:tc>
      </w:tr>
      <w:tr>
        <w:tblPrEx>
          <w:tblW w:w="5000" w:type="pct"/>
          <w:tblCellMar>
            <w:left w:w="108" w:type="dxa"/>
            <w:right w:w="108" w:type="dxa"/>
          </w:tblCellMar>
        </w:tblPrEx>
        <w:trPr>
          <w:trHeight w:val="34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Wzbogacenie oferty edukacyjnej w Technikum nr 4  dzięki wdrożeniu programu rozwojowego, służącego podniesieniu kwalifikacji i kompetencji zgodnie z potrzebami rynku pracy</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40"/>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Wsparcie śląskich przedsiębiorców w ramach Podmiotowego Systemu Finansowania</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Powiatowy Urząd Pracy w Bytomiu</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734 790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244 930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244 930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244 930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734 790</w:t>
            </w:r>
          </w:p>
        </w:tc>
      </w:tr>
      <w:tr>
        <w:tblPrEx>
          <w:tblW w:w="5000" w:type="pct"/>
          <w:tblCellMar>
            <w:left w:w="108" w:type="dxa"/>
            <w:right w:w="108" w:type="dxa"/>
          </w:tblCellMar>
        </w:tblPrEx>
        <w:trPr>
          <w:trHeight w:val="34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Wsparcie MŚP z województwa śląskiego, rozwój umiejętności, kompetencji i kwalifikacji ich pracowników. Wsparcie obejmuje różnorodne usługi rozwojowe tj. szkolenia, doradztwo, walidację, certyfikację oraz studia podyplomowe. Głównym celem projektu jest dostosowanie przedsiębiorstw oraz ich pracowników do zmian zachodzących na rynku pracy, ze szczególnym uwzględnieniem zielonej i cyfrowej transformacji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40"/>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"CRAB - Centrum Rozwoju Aktywności Bytomskiej" </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Powiatowy Urząd Pracy w Bytomiu</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379 440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183 844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176 624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379 440</w:t>
            </w:r>
          </w:p>
        </w:tc>
      </w:tr>
      <w:tr>
        <w:tblPrEx>
          <w:tblW w:w="5000" w:type="pct"/>
          <w:tblCellMar>
            <w:left w:w="108" w:type="dxa"/>
            <w:right w:w="108" w:type="dxa"/>
          </w:tblCellMar>
        </w:tblPrEx>
        <w:trPr>
          <w:trHeight w:val="34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poziomu kompetencji i umiejętności podstawowych, w tym cyfrowych wśród 64 osób bezrobotnych zarejestrowanych w PUP w Bytomiu o niskich umiejętnościach podstawowych lub kompetencjach podstawowych. Umiejętności te będą obejmować rozumienie i przetwarzanie informacji, rozumienia matematyczne, umiejętności cyfrowe oraz kompetencje społeczne na podstawie i z korzystaniem rekomendacji modeli przetestowanych w ramach projektu "Szansa-Nowe możliwości dla dorosłych" tj. modelu dla osób bezrobotnych - "Żyroskop-wielopoziomowy model wsparcia osób dorosłych"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40"/>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Funkcjonowanie miejsc opieki nad dziećmi do lat 3 w ramach Programu rozwoju instytucji opieki nad dziećmi w wieku do lat 3 "Maluch+" 2022-2029</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Zespół Żłobków Miejskich w Bytomiu (Żłobek Miejski nr 2)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722 305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240 768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160 512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0</w:t>
            </w:r>
          </w:p>
        </w:tc>
      </w:tr>
      <w:tr>
        <w:tblPrEx>
          <w:tblW w:w="5000" w:type="pct"/>
          <w:tblCellMar>
            <w:left w:w="108" w:type="dxa"/>
            <w:right w:w="108" w:type="dxa"/>
          </w:tblCellMar>
        </w:tblPrEx>
        <w:trPr>
          <w:trHeight w:val="34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Utrzymanie utworzonych w ramach w/w Programu 24 miejsc opieki nad dziećmi w wieku do lat 3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40"/>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Staże zawodowe 2023 dla uczniów oraz działania typu job-shadowing dla nauczycieli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Zespół Szkół Technicznych</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270 020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15 173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15 173</w:t>
            </w:r>
          </w:p>
        </w:tc>
      </w:tr>
      <w:tr>
        <w:tblPrEx>
          <w:tblW w:w="5000" w:type="pct"/>
          <w:tblCellMar>
            <w:left w:w="108" w:type="dxa"/>
            <w:right w:w="108" w:type="dxa"/>
          </w:tblCellMar>
        </w:tblPrEx>
        <w:trPr>
          <w:trHeight w:val="34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Staże zawodowe w zagranicznych przedsiębiorstwach dla uczniów ZST i działania typu job-shadowing dla nauczycieli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4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Doświadczenie zawodowe szansą na dobry start i rozwój kariery zawodowej</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Zespół Szkół Gastronomiczno-Hotelarskich</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220 100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9 000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9 000</w:t>
            </w:r>
          </w:p>
        </w:tc>
      </w:tr>
      <w:tr>
        <w:tblPrEx>
          <w:tblW w:w="5000" w:type="pct"/>
          <w:tblCellMar>
            <w:left w:w="108" w:type="dxa"/>
            <w:right w:w="108" w:type="dxa"/>
          </w:tblCellMar>
        </w:tblPrEx>
        <w:trPr>
          <w:trHeight w:val="49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kompetencji zawodowych uczniów ze szczególnym zwróceniem uwagi na szkolenie zawodowe prowadzone w realnym środowisku pracy za granicą oraz podniesienie kompetencji językowych przez nauczycieli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72"/>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jakości kształcenia zawodowego i jakości pracy Technikum nr 4 poprzez zagraniczne praktyki uczniów i staże zawodowe nauczycieli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Technikum nr 4</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261 545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35 985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35 985</w:t>
            </w:r>
          </w:p>
        </w:tc>
      </w:tr>
      <w:tr>
        <w:tblPrEx>
          <w:tblW w:w="5000" w:type="pct"/>
          <w:tblCellMar>
            <w:left w:w="108" w:type="dxa"/>
            <w:right w:w="108" w:type="dxa"/>
          </w:tblCellMar>
        </w:tblPrEx>
        <w:trPr>
          <w:trHeight w:val="538"/>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kompetencji zawodowych uczniów ze szczególnym zwróceniem uwagi na szkolenie zawodowe prowadzone w realnym środowisku pracy za granicą oraz podniesienie kompetencji językowych przez nauczycieli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1.1.2</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majątkowe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216 385 336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49 447 096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22 704 399</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62 951 515</w:t>
            </w:r>
          </w:p>
        </w:tc>
      </w:tr>
      <w:tr>
        <w:tblPrEx>
          <w:tblW w:w="5000" w:type="pct"/>
          <w:tblCellMar>
            <w:left w:w="108" w:type="dxa"/>
            <w:right w:w="108" w:type="dxa"/>
          </w:tblCellMar>
        </w:tblPrEx>
        <w:trPr>
          <w:trHeight w:val="272"/>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efektywności energetycznej w budynkach wielorodzinnych na terenie Górnośląsko-Zagłębiowskiej Metropolii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Urząd Miejski
w Bytomiu, Wydział Lokalowy, Bytomskie Mieszkania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2 713 908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1 138 566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1 552 491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2 587 485</w:t>
            </w:r>
          </w:p>
        </w:tc>
      </w:tr>
      <w:tr>
        <w:tblPrEx>
          <w:tblW w:w="5000" w:type="pct"/>
          <w:tblCellMar>
            <w:left w:w="108" w:type="dxa"/>
            <w:right w:w="108" w:type="dxa"/>
          </w:tblCellMar>
        </w:tblPrEx>
        <w:trPr>
          <w:trHeight w:val="36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Realizacja inwestycji z udziałem środków Europejskiego Banku Inwestycyjnego w ramach European Local Assistance Facility (ELENA) finansowanej z inicjatywy Programu Horyzont 2020</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Remont i poprawa stanu technicznego budynku Bytomskiego Centrum Kultury oraz zakup wyposażenia</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Kultury i Sportu, Bytomskie Centrum Kultury</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17 890 976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4 630 044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764 262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5 394 306</w:t>
            </w:r>
          </w:p>
        </w:tc>
      </w:tr>
      <w:tr>
        <w:tblPrEx>
          <w:tblW w:w="5000" w:type="pct"/>
          <w:tblCellMar>
            <w:left w:w="108" w:type="dxa"/>
            <w:right w:w="108" w:type="dxa"/>
          </w:tblCellMar>
        </w:tblPrEx>
        <w:trPr>
          <w:trHeight w:val="62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Modernizacja budynku Bytomskiego Centrum Kultury oraz doposażenie BCK i jego filii w celu uatrakcyjnienia oferty kulturalnej i zwiększenia  integracji społecznej mieszkańców Bytomia. W ramach zadania planuje się
m. in. modernizację dachu, klimatyzacji i wentylacji oraz zakup projektora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4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poziomu cyberbezpieczeństwa Gminy Bytom
(w zakresie wydatków majątkowych)</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Informatyki, Wydział Edukacji</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693 645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416 187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277 458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693 645</w:t>
            </w:r>
          </w:p>
        </w:tc>
      </w:tr>
      <w:tr>
        <w:tblPrEx>
          <w:tblW w:w="5000" w:type="pct"/>
          <w:tblCellMar>
            <w:left w:w="108" w:type="dxa"/>
            <w:right w:w="108" w:type="dxa"/>
          </w:tblCellMar>
        </w:tblPrEx>
        <w:trPr>
          <w:trHeight w:val="36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Zniwelowanie niedoborów w obszarach bezpieczeństwa informacji Urzędu Miejskiego poprzez szkolenia i rozbudowę sieci komputerowej o elementy podnoszące poziom bezpieczeństwa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54"/>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Adaptacja części budynku przy ul. Armii Krajowej 54B na potrzeby Ośrodka Interwencji Kryzysowej z hostelem i lokali z przeznaczeniem na najem socjalny</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Bytomskie Mieszkania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13 200 000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200 000</w:t>
            </w:r>
          </w:p>
        </w:tc>
      </w:tr>
      <w:tr>
        <w:tblPrEx>
          <w:tblW w:w="5000" w:type="pct"/>
          <w:tblCellMar>
            <w:left w:w="108" w:type="dxa"/>
            <w:right w:w="108" w:type="dxa"/>
          </w:tblCellMar>
        </w:tblPrEx>
        <w:trPr>
          <w:trHeight w:val="23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Zmniejszenie różnic społeczno-gospodarczych oraz wsparcie mieszkańców znajdujących się w stanie kryzysu</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Rozwój energetyki rozproszonej opartej o odnawialne źródła energii na terenie Gminy Bytom</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Wydział Inżynierii Środowiska, Wydział Komunikacji Medialnej i Promocji</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18 884 000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13 248 800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5 635 200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18 784 000</w:t>
            </w:r>
          </w:p>
        </w:tc>
      </w:tr>
      <w:tr>
        <w:tblPrEx>
          <w:tblW w:w="5000" w:type="pct"/>
          <w:tblCellMar>
            <w:left w:w="108" w:type="dxa"/>
            <w:right w:w="108" w:type="dxa"/>
          </w:tblCellMar>
        </w:tblPrEx>
        <w:trPr>
          <w:trHeight w:val="91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jakości powietrza, w tym ograniczenie emisji CO2 oraz pyłu PM10 poprzez zwiększenie poziomu produkcji energii ze źródeł odnawialnych tj. instalacji PV (fotowoltaicznych), magazynów energii, instalacji pomp ciepła, systemów zarządzania energią. Program skierowany jest dla mieszkańców Gminy Bytom, którzy mogą otrzymać maksymalny, dopuszczalny poziom dofinansowania kosztów kwalifikowanych do 85% poniesionych kosztów</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Rozwój energetyki rozproszonej opartej o odnawialne źródła energii na terenie Gminy Bytom i Radzionków</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Wydział Inżynierii Środowiska, Wydział Komunikacji Medialnej i Promocji</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32 963 000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23 104 100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9 858 900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32 863 000</w:t>
            </w:r>
          </w:p>
        </w:tc>
      </w:tr>
      <w:tr>
        <w:tblPrEx>
          <w:tblW w:w="5000" w:type="pct"/>
          <w:tblCellMar>
            <w:left w:w="108" w:type="dxa"/>
            <w:right w:w="108" w:type="dxa"/>
          </w:tblCellMar>
        </w:tblPrEx>
        <w:trPr>
          <w:trHeight w:val="83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jakości powietrza, w tym ograniczenie emisji CO2 oraz pyłu PM10 poprzez zwiększenie poziomu produkcji energii ze źródeł odnawialnych tj. instalacji PV (fotowoltaicznych), magazynów energii, instalacji pomp ciepła, systemów zarządzania energią. Program skierowany jest dla mieszkańców Gminy Bytom, którzy mogą otrzymać maksymalny, dopuszczalny poziom dofinansowania kosztów kwalifikowanych do 85% poniesionych kosztów</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Utworzenie Żłobka Miejskiego nr 3 w budynku przy ul. Strzelców Bytomskich 248 w Bytomiu (KPO)</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Wydział Realizacji Inwestycji i Remontów</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2 117 293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1 169 793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1 169 793</w:t>
            </w:r>
          </w:p>
        </w:tc>
      </w:tr>
      <w:tr>
        <w:tblPrEx>
          <w:tblW w:w="5000" w:type="pct"/>
          <w:tblCellMar>
            <w:left w:w="108" w:type="dxa"/>
            <w:right w:w="108" w:type="dxa"/>
          </w:tblCellMar>
        </w:tblPrEx>
        <w:trPr>
          <w:trHeight w:val="552"/>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Wybudowanie nowego budynku, połączonego z istniejącym budynkiem Przedszkola Miejskiego nr 63 przy ul. Strzelców Bytomskich 248 w Bytomiu na potrzeby oddziału żłobkowego, spełniających standardy obowiązujące w tego typu placówkach</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54"/>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Adaptacja i dostosowanie budynku Żłobka Miejskiego nr 1 w celu utworzenia 10 miejsc dla dzieci w wieku do lat 3 w ramach programu "MALUCH+ 2022-2029" (KPO)</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Zespół Żłobków Miejskich w Bytomiu</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441 103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270 386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170 717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441 103</w:t>
            </w:r>
          </w:p>
        </w:tc>
      </w:tr>
      <w:tr>
        <w:tblPrEx>
          <w:tblW w:w="5000" w:type="pct"/>
          <w:tblCellMar>
            <w:left w:w="108" w:type="dxa"/>
            <w:right w:w="108" w:type="dxa"/>
          </w:tblCellMar>
        </w:tblPrEx>
        <w:trPr>
          <w:trHeight w:val="26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Dostosowanie pomieszczeń w celu utworzenia 
i wyposażenia m.in. sali rehabilitacyjnej i neurologicznej</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1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Adaptacja budynku przy ul. Jana Smolenia 20 w Bytomiu na potrzeby przedszkola miejskiego oraz oddziału żłobkowego (Polski Ład, KPO)</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Realizacji Inwestycji 
i Remontów</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10 622 317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4 916 946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4 295 371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315 909</w:t>
            </w:r>
          </w:p>
        </w:tc>
      </w:tr>
      <w:tr>
        <w:tblPrEx>
          <w:tblW w:w="5000" w:type="pct"/>
          <w:tblCellMar>
            <w:left w:w="108" w:type="dxa"/>
            <w:right w:w="108" w:type="dxa"/>
          </w:tblCellMar>
        </w:tblPrEx>
        <w:trPr>
          <w:trHeight w:val="682"/>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Dostosowanie budynku przy ul. Jana Smolenia 20 w Bytomiu na potrzeby 8 oddziałowego przedszkola z oddziałem żłobkowym, spełniających standardy obowiązujące w tego typu placówkach. Obiekt zostanie zaprojektowany bez barier architektonicznych, co umożliwi dostęp osobom niepełnosprawnym na wszystkie kondygnacje przedszkola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4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1.1.2.10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Punktu Selektywnej Zbiórki Odpadów Komunalnych (PSZOK) dla mieszkańców Bytomia</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Gospodarowania Odpadami Komunalnymi</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2 000 000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300 000</w:t>
            </w:r>
          </w:p>
        </w:tc>
      </w:tr>
      <w:tr>
        <w:tblPrEx>
          <w:tblW w:w="5000" w:type="pct"/>
          <w:tblCellMar>
            <w:left w:w="108" w:type="dxa"/>
            <w:right w:w="108" w:type="dxa"/>
          </w:tblCellMar>
        </w:tblPrEx>
        <w:trPr>
          <w:trHeight w:val="502"/>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systemu zagospodarowania odpadów komunalnych na terenie gminy Bytom</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9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1.1.2.11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węzła przesiadkowego na Placu Wolskiego w Bytomiu wraz z przystosowaniem układu komunikacyjnego</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114 859 094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202 274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202 274</w:t>
            </w:r>
          </w:p>
        </w:tc>
      </w:tr>
      <w:tr>
        <w:tblPrEx>
          <w:tblW w:w="5000" w:type="pct"/>
          <w:tblCellMar>
            <w:left w:w="108" w:type="dxa"/>
            <w:right w:w="108" w:type="dxa"/>
          </w:tblCellMar>
        </w:tblPrEx>
        <w:trPr>
          <w:trHeight w:val="106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Stworzenie sprawnego i zintegrowanego transportu miejskiego poprzez usytuowanie w jednym miejscu stanowisk postojowych dla różnych środków transportu wraz z parkingiem dla pojazdów osobowych, umożliwiających przesiadkę z indywidualnego środka transportu na zbiorowy i odwrotnie. Stworzenie przyjaznej przestrzeni dla przemieszczania się pieszych pomiędzy dworcem autobusowym, kolejowym i śródmieściem</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1.2</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Wydatki na programy, projekty lub zadania związane z umowami partnerstwa publiczno-prywatnego, z tego:</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49 736 980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3 470 806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3 470 806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3 470 806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3 470 806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2 298 974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658 407</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1.2.1</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bieżące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1.2.2</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majątkowe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49 736 980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3 470 806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3 470 806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3 470 806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3 470 806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2 298 974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658 407</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1.2.2.1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Termomodernizacje budynków placówek oświatowych
w Bytomiu</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Realizacji Inwestycji 
i Remontów / 
Wydział Edukacji</w:t>
            </w:r>
          </w:p>
        </w:tc>
        <w:tc>
          <w:tcPr>
            <w:tcW w:w="27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2012</w:t>
            </w:r>
          </w:p>
        </w:tc>
        <w:tc>
          <w:tcPr>
            <w:tcW w:w="30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2030</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49 736 980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3 470 806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3 470 806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3 470 806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3 470 806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2 298 974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658 407</w:t>
            </w: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118"/>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Zwiększenie energooszczędności budynków szkół</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1.3</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Wydatki na programy, projekty lub zadania pozostałe (inne niż wymienione w pkt 1.1 i 1.2), 
z tego:</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595 358 459</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159 321 292</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45 330 433</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69 761 211</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50 919 852</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4 065 900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785 909</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251 009 689</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1.3.1</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bieżące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315 538 902</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47 886 984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27 110 443</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28 417 335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10 855 693</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4 065 900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785 909</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61 568 410</w:t>
            </w: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Zarządzanie systemem informatycznym Urzędu Miejskiego w Bytomiu – utrzymanie i rozwój</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Informatyki</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2011</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21 520 078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2 600 000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2 600 000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5 200 000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Wspomaganie działania Urzędu Miejskiego w Bytomiu poprzez zastosowanie narzędzi informatycznych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470"/>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Pokrywanie kosztów utrzymania dzieci, będących mieszkańcami Bytomia, a umieszczonych w rodzinnej pieczy zastępczej na terenie innych powiatów na podstawie porozumień między powiatami</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Polityki Społecznej, 
Miejski Ośrodek 
Pomocy Rodzinie</w:t>
            </w:r>
          </w:p>
        </w:tc>
        <w:tc>
          <w:tcPr>
            <w:tcW w:w="27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2012</w:t>
            </w:r>
          </w:p>
        </w:tc>
        <w:tc>
          <w:tcPr>
            <w:tcW w:w="30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27 398 404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2 400 000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2 700 000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3 000 000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8 100 000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odpowiednich warunków do życia dzieciom umieszczonym w rodzinnej pieczy zastępczej</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44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Pokrywanie kosztów utrzymania dzieci, będących mieszkańcami Bytomia, a umieszczonych w instytucjonalnej pieczy zastępczej na terenie innych powiatów na podstawie porozumień między powiatami</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Polityki Społecznej, 
Miejski Ośrodek Pomocy Rodzinie</w:t>
            </w:r>
          </w:p>
        </w:tc>
        <w:tc>
          <w:tcPr>
            <w:tcW w:w="27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2012</w:t>
            </w:r>
          </w:p>
        </w:tc>
        <w:tc>
          <w:tcPr>
            <w:tcW w:w="30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31 900 926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2 800 000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3 100 000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3 400 000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9 300 000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odpowiednich warunków do życia dzieciom umieszczonym w instytucjonalnej pieczy zastępczej</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582"/>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Pokrywanie kosztów utrzymania dzieci z terenu Bytomia 
w rodzinnych domach dziecka funkcjonujących na terenie powiatu oraz poza powiatem wynikające z umów oraz porozumień z innymi powiatami w sprawie wykonywania zadań rodzinnego domu dziecka</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Miejski Ośrodek 
Pomocy Rodzinie</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2028</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46 561 919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4 911 000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5 511 000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5 511 000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5 511 000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5 400 000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odpowiednich warunków do życia dzieciom umieszczonym w rodzinnych domach dziecka</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470"/>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Pokrywanie kosztów utrzymania dzieci z terenu Bytomia 
w zawodowych rodzinach zastępczych funkcjonujących na terenie powiatu wynikające z umów w sprawie wykonania zadań zawodowej rodziny zastępczej.</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Miejski Ośrodek 
Pomocy Rodzinie</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2028</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10 704 992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1 170 000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1 470 000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1 470 000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1 470 000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3 900 000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odpowiednich warunków do życia dzieciom umieszczonym w zawodowych rodzinach zastępczych.</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72"/>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Świadczenia dziennej opieki nad dziećmi z terenu miasta Bytomia w placówkach opiekuńczo-wychowawczych wsparcia dziennego</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Polityki Społecznej</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7 210 000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720 000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780 000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840 000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2 340 000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dziennej opieki nad dziećmi z terenu miasta Bytomia w placówkach wsparcia dziennego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Obsługa lodowiska plenerowego</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Ośrodek Sportu 
i Rekreacji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2020</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2030</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1 320 000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120 000</w:t>
            </w: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11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infrastruktury sportowej w mieście</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7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Pokrywanie kosztów wyżywienia i zakwaterowania dzieci z pieczy zastępczej, będących mieszkańcami Bytomia, 
a umieszczonych przez sąd w zakładach opiekuńczo-leczniczych</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Urząd Miejski 
w Bytomiu, 
Wydział Polityki Społecznej, 
Miejski Ośrodek 
Pomocy Rodzinie </w:t>
            </w:r>
          </w:p>
        </w:tc>
        <w:tc>
          <w:tcPr>
            <w:tcW w:w="27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2018</w:t>
            </w:r>
          </w:p>
        </w:tc>
        <w:tc>
          <w:tcPr>
            <w:tcW w:w="30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5 846 000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740 000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780 000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2 220 000</w:t>
            </w:r>
          </w:p>
        </w:tc>
      </w:tr>
      <w:tr>
        <w:tblPrEx>
          <w:tblW w:w="5000" w:type="pct"/>
          <w:tblCellMar>
            <w:left w:w="108" w:type="dxa"/>
            <w:right w:w="108" w:type="dxa"/>
          </w:tblCellMar>
        </w:tblPrEx>
        <w:trPr>
          <w:trHeight w:val="242"/>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odpowiednich warunków do życia dzieciom umieszczonym przez sąd w zakładach opiekuńczo-leczniczych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Współpraca z Krajowym Rejestrem Długów Biurem Informacji Gospodarczej S.A.</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Finansowy/
Wydział Poboru 
i Windykacji Dochodów</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2019</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29 262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3 800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3 800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310"/>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Wsparcie windykacji niepodatkowych dochodów budżetowych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Letnie i zimowe utrzymanie czystości oraz konserwacja zieleni na terenie Bytomia</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2020</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89 468 205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20 994 496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1 725 424</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ładu, czystości, porządku oraz konserwacja zieleni w pasie dróg publicznych oraz na innych terenach będących w utrzymaniu jednostki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54"/>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Wyposażenie Strefy Płatnego Parkowania w urządzenia i oprogramowanie niezbędne do poboru opłat za postój w Strefie Płatnego Parkowania</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2021</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3 138 384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359 700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138 998</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Utrzymanie nowoczesnej i funkcjonalnej Strefy Płatnego Parkowania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Kontrola wnoszenia opłat w Strefie Płatnego Parkowania w Bytomiu wraz z utrzymaniem obsługi biura SPP</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2021</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2 315 567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353 105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203 588</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Utrzymanie nowoczesnej i funkcjonalnej Strefy Płatnego Parkowania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Świadczenie usług oświetleniowych w zakresie rozszerzonym – o podwyższonym standardzie</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2021</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2030</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28 899 947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3 379 009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3 434 857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3 524 982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3 668 593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3 945 900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665 909</w:t>
            </w: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Utrzymanie energooszczędnego i funkcjonalnego oświetlenia drogowego</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470"/>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Prowadzenie postępowania sądowego w przedmiocie dochodzenia odszkodowania od podmiotów górniczych za szkody wyrządzone na nieruchomości gminnej położonej w Bytomiu przy ul. Dzierżonia 21</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Obrotu Nieruchomościami, Wydział Nadzoru Właścicielskiego</w:t>
            </w:r>
          </w:p>
        </w:tc>
        <w:tc>
          <w:tcPr>
            <w:tcW w:w="27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2020</w:t>
            </w:r>
          </w:p>
        </w:tc>
        <w:tc>
          <w:tcPr>
            <w:tcW w:w="30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143 500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230"/>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Uzyskanie odszkodowania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4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Zabezpieczenie prawidłowej realizacji projektów wspierających aktywne formy przeciwdziałania bezrobociu</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Urząd Miejski 
w Bytomiu, 
Wydział Polityki Społecznej / Powiatowy Urząd Pracy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2019</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11 462 600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150 000</w:t>
            </w:r>
          </w:p>
        </w:tc>
      </w:tr>
      <w:tr>
        <w:tblPrEx>
          <w:tblW w:w="5000" w:type="pct"/>
          <w:tblCellMar>
            <w:left w:w="108" w:type="dxa"/>
            <w:right w:w="108" w:type="dxa"/>
          </w:tblCellMar>
        </w:tblPrEx>
        <w:trPr>
          <w:trHeight w:val="700"/>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Zabezpieczenie terminowego zwrotu środków wskazanych przez Instytucję Zarządzającą jako niekwalifikowalne w projektach wdrażanych przez Powiatowy Urząd Pracy w Bytomiu, promujących aktywne formy przeciwdziałania bezrobociu oraz wzrost aktywności zawodowej i zwiększających poprawę zdolności do zatrudnienia mieszkańców Bytomia</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Bankowa obsługa budżetu gminy Bytom</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Finansowy</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780 000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156 000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156 000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Prowadzenie rachunków bankowych Urzędu Miejskiego i miejskich jednostek budżetowych oraz zapewnienie kompleksowej obsługi bankowej budżetu gminy</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Program wsparcia rodzin "Za Życiem"</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Poradnia Psychologiczno-Pedagogiczna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1 486 947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315 700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315 700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620 837</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Realizacja zadań wiodącego ośrodka koordynacyjno - rehabilitacyjno - opiekuńczego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Usuwanie pojazdów z dróg</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Transportu</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159 000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79 500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79 500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159 000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Usuwanie pojazdów z dróg w latach 2023-2024 na podstawie art..50a oraz 130a ustawy Prawo o ruchu drogowym</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Kompleksowa obsługa telekomunikacyjna jednostki wraz z dzierżawą wirtualnej centrali telefonicznej</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168 000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56 000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Utrzymanie funkcjonalnej centrali telefoniczno-informatycznej, w tym łącza internetowego, transmisji danych między lokalizacjami oraz telefonii stacjonarnej</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54"/>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udziałów samochodów elektrycznych we flocie użytkowanych pojazdów oraz podniesienie jakości taboru samochodowego</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Administracyjny</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160 600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27 600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Spełnienie wymogów ustawy o elektromobilności i paliwach alternatywnych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6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Realizacja programu polityki zdrowotnej "Dofinansowanie leczenia niepłodności metodą zapłodnienia pozaustrojowego dla mieszkańców Bytomia na lata 2023-2026" </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Polityki Społecznej</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650 000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218 000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212 000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430 000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Wsparcie bytomian dotkniętych niepłodnością z wykorzystaniem metod zapłodnienia pozaustrojowego</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34"/>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Zbiórka surowców wtórnych tj.: makulatura, plastikowe butelki PET oraz baterie w ramach akcji "Bytom jest EKO" organizowanej dla bytomskich placówek oświatowych</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Inżynierii Środowiska, Wydział Gospodarowania Odpadami Komunalnymi</w:t>
            </w:r>
          </w:p>
        </w:tc>
        <w:tc>
          <w:tcPr>
            <w:tcW w:w="27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14 751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10 000</w:t>
            </w:r>
          </w:p>
        </w:tc>
      </w:tr>
      <w:tr>
        <w:tblPrEx>
          <w:tblW w:w="5000" w:type="pct"/>
          <w:tblCellMar>
            <w:left w:w="108" w:type="dxa"/>
            <w:right w:w="108" w:type="dxa"/>
          </w:tblCellMar>
        </w:tblPrEx>
        <w:trPr>
          <w:trHeight w:val="730"/>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Wzmocnienie pozytywnych zachowań podopiecznych przedszkoli oraz szkół w zakresie ekologii, edukacji związanej z gospodarką odpadami, a co z tym związane 
z selektywną zbiórką surowców wtórnych tj. makulatury, butelek PET oraz baterii. Do powyższej akcji przystąpić może każda bytomska placówka oświatowa.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54"/>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Kompleksowa usługa ochrony zwierząt wraz z prowadzeniem schroniska dla bezdomnych zwierząt oraz grzebowiska w Bytomiu przy ul. Łaszczyka18</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Inżynierii Środowiska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5 688 000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1 908 000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2 088 000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3 996 000</w:t>
            </w:r>
          </w:p>
        </w:tc>
      </w:tr>
      <w:tr>
        <w:tblPrEx>
          <w:tblW w:w="5000" w:type="pct"/>
          <w:tblCellMar>
            <w:left w:w="108" w:type="dxa"/>
            <w:right w:w="108" w:type="dxa"/>
          </w:tblCellMar>
        </w:tblPrEx>
        <w:trPr>
          <w:trHeight w:val="36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Prowadzenie działalności w zakresie ochrony przed bezdomnymi zwierzętami, prowadzenia schroniska dla bezdomnych zwierząt oraz grzebowiska zwłok zwierzęcych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54"/>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Miejski Program Zapobiegania Przestępczości oraz Ochrony Bezpieczeństwa Obywateli i Porządku Publicznego na lata 2024-2026</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Zarządzania Kryzysowego</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270 000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180 000</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Zapobieganie przestępczości oraz ochrona bezpieczeństwa obywateli i porządku publicznego - podniesienie poziomu bezpieczeństwa w mieście</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System monitoringu dzikich wysypisk w Bytomiu (2023-2025)</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Inżynierii Środowiska, Straż Miejska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12 700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6 350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6 350</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Monitoring terenów pod kątem ochrony środowiska 
w szczególności miejsc nielegalnego zrzutu odpadów 
w celu wykrycia sprawców</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0"/>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Współkorzystanie z infrastruktury elektroenergetycznej, będącej własnością Tauron Dystrybucja w celu zabudowania monitoringu</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Inżynierii Środowiska, Straż Miejska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1 200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600</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Dzierżawa słupów oświetleniowych firmy Tauron Dystrybucja w celu zamontowania kamer służących do monitoringu terenów pod kątem ochrony środowiska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1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Gminny Program Rewitalizacji</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Strategii, Funduszy Europejskich i Obsługi Inwestora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102 000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102 000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102 000</w:t>
            </w:r>
          </w:p>
        </w:tc>
      </w:tr>
      <w:tr>
        <w:tblPrEx>
          <w:tblW w:w="5000" w:type="pct"/>
          <w:tblCellMar>
            <w:left w:w="108" w:type="dxa"/>
            <w:right w:w="108" w:type="dxa"/>
          </w:tblCellMar>
        </w:tblPrEx>
        <w:trPr>
          <w:trHeight w:val="260"/>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Opracowanie nowego Gminnego Programu Rewitalizacji</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Zarządzanie nieruchomościami będącymi w posiadaniu gminy - umowy wieloletnie</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Bytomskie Mieszkania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1 976 443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830 609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1 328 059</w:t>
            </w:r>
          </w:p>
        </w:tc>
      </w:tr>
      <w:tr>
        <w:tblPrEx>
          <w:tblW w:w="5000" w:type="pct"/>
          <w:tblCellMar>
            <w:left w:w="108" w:type="dxa"/>
            <w:right w:w="108" w:type="dxa"/>
          </w:tblCellMar>
        </w:tblPrEx>
        <w:trPr>
          <w:trHeight w:val="700"/>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Realizacja czynności i zadań prowadzonych w nieruchomościach zarządzanych przez Bytomskie Mieszkania. Usługi związane z obsługą eksploatacyjną nieruchomości, w tym m.in. utrzymanie porządku i czystości, całodobowa obsługa eksploatacyjna kotłowni oraz inne zadania, których realizacja wykracza poza rok budżetowy</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Ekopracownia pod chmurką w Technikum nr 6 w ZST - Zielona Strefa</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Zespół Szkół Technicznych</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87 500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30 177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30 177</w:t>
            </w:r>
          </w:p>
        </w:tc>
      </w:tr>
      <w:tr>
        <w:tblPrEx>
          <w:tblW w:w="5000" w:type="pct"/>
          <w:tblCellMar>
            <w:left w:w="108" w:type="dxa"/>
            <w:right w:w="108" w:type="dxa"/>
          </w:tblCellMar>
        </w:tblPrEx>
        <w:trPr>
          <w:trHeight w:val="230"/>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Utworzenie na terenie placówki pracowni do prowadzenia zajęć na świeżym powietrzu z zakresu nauk przyrodniczych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1.3.1.30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Ekopracownia pod chmurką w Branżowej Szkole I stopnia nr 8 Specjalnej - Niebieskie pszczoły</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Branżowa Szkoła I stopnia nr 8 Specjalna</w:t>
            </w:r>
          </w:p>
        </w:tc>
        <w:tc>
          <w:tcPr>
            <w:tcW w:w="27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87 500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87 500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87 500</w:t>
            </w:r>
          </w:p>
        </w:tc>
      </w:tr>
      <w:tr>
        <w:tblPrEx>
          <w:tblW w:w="5000" w:type="pct"/>
          <w:tblCellMar>
            <w:left w:w="108" w:type="dxa"/>
            <w:right w:w="108" w:type="dxa"/>
          </w:tblCellMar>
        </w:tblPrEx>
        <w:trPr>
          <w:trHeight w:val="2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Utworzenie na terenie placówki pracowni do prowadzenia zajęć na świeżym powietrzu z zakresu nauk przyrodniczych</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22"/>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1.3.1.31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Wynajem dekoracji świątecznych wraz z montażem
i demontażem na terenie miasta Bytomia w sezonie 2024/2025</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1 000 000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990 000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990 000</w:t>
            </w:r>
          </w:p>
        </w:tc>
      </w:tr>
      <w:tr>
        <w:tblPrEx>
          <w:tblW w:w="5000" w:type="pct"/>
          <w:tblCellMar>
            <w:left w:w="108" w:type="dxa"/>
            <w:right w:w="108" w:type="dxa"/>
          </w:tblCellMar>
        </w:tblPrEx>
        <w:trPr>
          <w:trHeight w:val="11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Świąteczna dekoracja oświetleniowa miasta</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7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1.3.1.32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Prowadzenia postępowania sądowego w przedmiocie dochodzenia odszkodowania od podmiotów górniczych za szkody wyrządzone na budynku gminnym położonym w Bytomiu przy ul. Dzierżonia 21
</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Nadzoru Właścicielskiego</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2028</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110 700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86 100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86 100</w:t>
            </w:r>
          </w:p>
        </w:tc>
      </w:tr>
      <w:tr>
        <w:tblPrEx>
          <w:tblW w:w="5000" w:type="pct"/>
          <w:tblCellMar>
            <w:left w:w="108" w:type="dxa"/>
            <w:right w:w="108" w:type="dxa"/>
          </w:tblCellMar>
        </w:tblPrEx>
        <w:trPr>
          <w:trHeight w:val="11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Uzyskanie odszkodowania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22"/>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1.3.1.33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Prowadzenie parkingu miejskiego dla pojazdów usuniętych z drogi</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Transportu</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140 000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140 000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400 000</w:t>
            </w:r>
          </w:p>
        </w:tc>
      </w:tr>
      <w:tr>
        <w:tblPrEx>
          <w:tblW w:w="5000" w:type="pct"/>
          <w:tblCellMar>
            <w:left w:w="108" w:type="dxa"/>
            <w:right w:w="108" w:type="dxa"/>
          </w:tblCellMar>
        </w:tblPrEx>
        <w:trPr>
          <w:trHeight w:val="242"/>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Dzierżawa terenu pod parking miejski  dla pojazdów usuniętych z drogi od spółki spółkiTramwaje Śląskie S.A.</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4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1.3.1.34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Roszczenia odszkodowawcze z tytułu niedostarczenia ofert zawarcia umowy najmu socjalnego lokalu</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Bytomskie Mieszkania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14 463 777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2 302 838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2 711 586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9 449 353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14 463 777</w:t>
            </w:r>
          </w:p>
        </w:tc>
      </w:tr>
      <w:tr>
        <w:tblPrEx>
          <w:tblW w:w="5000" w:type="pct"/>
          <w:tblCellMar>
            <w:left w:w="108" w:type="dxa"/>
            <w:right w:w="108" w:type="dxa"/>
          </w:tblCellMar>
        </w:tblPrEx>
        <w:trPr>
          <w:trHeight w:val="1190"/>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Spłata odszkodowań z tytułu nieodstarczenia ofert zawarcia umowy najmu soclanego lokalu na rzecz osób wobec których prowomocnym wyrokiem sądowym orzeczona została eksmisja z przyznanym uprawnieniem do zawarcia umowy najmu socjalnego lokalu oraz w związku z niewskazaniem pomieszczeń tymczasowych na rcze osób wobec których prawomocnym wyrokiem sądowym orzeczona została ekmisja bez przyznanego uprawnienia do zawarcia umowy najmu socjalnego lokalu - dotyczy spraw sądowych oraz pozasądowych (porozumienia oraz ugody w tym mediacje)</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1.3.2</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majątkowe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279 819 557</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111 434 308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18 219 990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41 343 876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40 064 159</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189 441 279</w:t>
            </w: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Modernizacja budynków – ul. Musialika 1 i 3</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Bytomskie Mieszkania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2019</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6 050 656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4 281 775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183 277</w:t>
            </w:r>
          </w:p>
        </w:tc>
      </w:tr>
      <w:tr>
        <w:tblPrEx>
          <w:tblW w:w="5000" w:type="pct"/>
          <w:tblCellMar>
            <w:left w:w="108" w:type="dxa"/>
            <w:right w:w="108" w:type="dxa"/>
          </w:tblCellMar>
        </w:tblPrEx>
        <w:trPr>
          <w:trHeight w:val="81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Realizacja modernizacji budynków związana z realizacją decyzji PINB.IV-7356/13/2012/2013 z dnia 11 marca 2013 r. (dot. Musialika 3) oraz decyzji PINB.IV.7356.297.2006.2011 
z dnia 20 lipca 2011 r. (dot. Musialika 1) – w zakresie modernizacji dachu, ścian nośnych budynków i stropów międzykondygnacyjnych w związku z ciągłym zalewaniem wodami opadowymi i utrzymaniem się zawilgocenia ww. obiektów</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4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drogi będącej przedłużeniem istniejącej ul. Kadłubka i łączącej się z ul. Długą wraz z obiektem inżynierii drogowej - etap I</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2021</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102 750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6 642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6 642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 wraz z zapewnieniem dostępu do zabudowy jednorodzinnej</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54"/>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dróg i chodników wraz z infrastrukturą towarzyszącą w części ulic Piłsudskiego, Matejki, Krakowskiej oraz pl. Sobieskiego w Bytomiu (Polski Ład)</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2021</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33 466 643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31 297 627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31 297 627</w:t>
            </w:r>
          </w:p>
        </w:tc>
      </w:tr>
      <w:tr>
        <w:tblPrEx>
          <w:tblW w:w="5000" w:type="pct"/>
          <w:tblCellMar>
            <w:left w:w="108" w:type="dxa"/>
            <w:right w:w="108" w:type="dxa"/>
          </w:tblCellMar>
        </w:tblPrEx>
        <w:trPr>
          <w:trHeight w:val="55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jezdni, chodników, miejsc postojowych wraz z modernizacją kanalizacji deszczowej obejmującą retencjonowanie wód w celu poprawy bezpieczeństwa, ograniczenia hałasu i występowania podtopień oraz wsparcia procesów rewitalizacji centrum miasta</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Przyłączenia do sieci dystrybucyjnej urządzeń wytwórczych energii elektrycznej</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Inżynierii Środowiska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2021</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369 000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144 500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144 500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289 000</w:t>
            </w:r>
          </w:p>
        </w:tc>
      </w:tr>
      <w:tr>
        <w:tblPrEx>
          <w:tblW w:w="5000" w:type="pct"/>
          <w:tblCellMar>
            <w:left w:w="108" w:type="dxa"/>
            <w:right w:w="108" w:type="dxa"/>
          </w:tblCellMar>
        </w:tblPrEx>
        <w:trPr>
          <w:trHeight w:val="2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farmy fotowoltaicznej. Uzyskanie warunków, dokumentacji i pozwoleń do budowy elektrowni Bytom PV 1 i PV 4</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Program Kolej +</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Transportu</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2028</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68 276 764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477 261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2 120 414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31 656 454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31 382 026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65 636 155</w:t>
            </w:r>
          </w:p>
        </w:tc>
      </w:tr>
      <w:tr>
        <w:tblPrEx>
          <w:tblW w:w="5000" w:type="pct"/>
          <w:tblCellMar>
            <w:left w:w="108" w:type="dxa"/>
            <w:right w:w="108" w:type="dxa"/>
          </w:tblCellMar>
        </w:tblPrEx>
        <w:trPr>
          <w:trHeight w:val="34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Stworzenie nowego połączenia kolejowego Ruda Chebzie/ Zabrze - Bytom, w tym budowa nowych przystanków osobowych Ruda Orzegów i Bytom ul. Zabrzańska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ul. Kilara i odcinków ul. Bernardyńskiej, Tuwima i Łagiewnickiej</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276 300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121 231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47 960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chodnika wzdłuż ul. Żołnierskiej wraz z budową chodnika wzdłuż ul. Gombrowicza</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271 139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220 816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5 658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24 550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Remont i adaptacja obiektów przy ul. Worpie 18 
i ul. Stolarzowickiej 19  (Polski Ład Edycja 2)</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Realizacji Inwestycji i Remontów</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3 335 695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1 991 925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165 028</w:t>
            </w:r>
          </w:p>
        </w:tc>
      </w:tr>
      <w:tr>
        <w:tblPrEx>
          <w:tblW w:w="5000" w:type="pct"/>
          <w:tblCellMar>
            <w:left w:w="108" w:type="dxa"/>
            <w:right w:w="108" w:type="dxa"/>
          </w:tblCellMar>
        </w:tblPrEx>
        <w:trPr>
          <w:trHeight w:val="49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Poprawa efektywności energetycznej budynku zaplecza stadionu sportowego przy ul. Worpie 18 w Bytomiu. Modernizacja i adaptacja budynków przy ul. Stolarzowickiej 19 w Bytomiu do celów edukacyjno-kulturalno-muzealnych.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ul. Nickla wraz ze skrzyżowaniem 
z ul. Daleką (RFIL)</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2021</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10 831 439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7 226 367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12 133</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ulicy Frycza-Modrzewskiego  (RFIL)</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2021</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9 334 000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8 862 408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8 862 408</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Modernizacja źródła ciepła w lokalach w ramach: Programu Ciepłe Mieszkanie w Gminie Bytom rok 2022</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Inżynierii Środowiska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6 805 999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3 907 847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1 953 924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5 861 771</w:t>
            </w:r>
          </w:p>
        </w:tc>
      </w:tr>
      <w:tr>
        <w:tblPrEx>
          <w:tblW w:w="5000" w:type="pct"/>
          <w:tblCellMar>
            <w:left w:w="108" w:type="dxa"/>
            <w:right w:w="108" w:type="dxa"/>
          </w:tblCellMar>
        </w:tblPrEx>
        <w:trPr>
          <w:trHeight w:val="72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jakości powietrza oraz zmniejszenie emisji pyłów oraz gazów cieplarnianych poprzez wymianę źródła ciepła i poprawę efektywności energetycznej w lokalach mieszkalnych znajdujących się w budynkach mieszkalnych wielorodzinnych na terenie Gminy Bytom. Liczba przewidywanych przedsięwzięć realizowanych w Gminie Bytom to 500 inwestycji</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22"/>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Przyłączenia do sieci dystrybucyjnej urządzeń wytwórczych energii elektrycznej w Bytomiu przy ul. Dworskiej</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Inżynierii Środowiska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12 300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2 300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2 300</w:t>
            </w:r>
          </w:p>
        </w:tc>
      </w:tr>
      <w:tr>
        <w:tblPrEx>
          <w:tblW w:w="5000" w:type="pct"/>
          <w:tblCellMar>
            <w:left w:w="108" w:type="dxa"/>
            <w:right w:w="108" w:type="dxa"/>
          </w:tblCellMar>
        </w:tblPrEx>
        <w:trPr>
          <w:trHeight w:val="230"/>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Zarezerwowanie mocy w celu realizacji projektu budowy farmy fotowoltaicznej przy ul. Dworskiej w Bytomiu</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i przebudowa kanalizacji deszczowej
w ul. Nickla i Relaksowej (Frenzla) (Polski Ład Edycja 2)</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2 561 909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2 559 905</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i przebudowa kanalizacji grawitacyjnych 
i tłocznych w celu zapewnienia odbioru wód deszczowych z terenów dróg i terenów przylegających do terenu inwestycji</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chodnika wzdłuż ulicy Strzelców Bytomskich od Domu Seniora do granicy z gminą Tarnowskie Góry</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587 095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468 876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117 219</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0</w:t>
            </w:r>
          </w:p>
        </w:tc>
      </w:tr>
      <w:tr>
        <w:tblPrEx>
          <w:tblW w:w="5000" w:type="pct"/>
          <w:tblCellMar>
            <w:left w:w="108" w:type="dxa"/>
            <w:right w:w="108" w:type="dxa"/>
          </w:tblCellMar>
        </w:tblPrEx>
        <w:trPr>
          <w:trHeight w:val="11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pieszego</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ulicy bocznej Estreichera</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59 350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58 350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3 000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Mobilna Metropolia - Budowa Centrów Przesiadkowych na terenie gminy Bytom</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2028</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60 152 435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554 179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1 847 263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7 389 049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8 682 133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18 472 624</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54"/>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Czyszczenie, naprawa i hydrofobizacja ścian i mansard budynku Szkoły Podstawowej nr 6 przy ul. Królowej Jadwigi 2 w Bytomiu (Polski Ład)</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Realizacji Inwestycji 
i Remontów</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2 006 939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1 023 539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983 400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57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Oczyszczenie powierzchni elewacji oraz ograniczenie wnikania wody opadowej przez hydrofobizację strukturalną poprzedzoną wykonaną prawidłowo konserwacją cokołu i elewacji ceglanej. Przywrócenie pierwotnej estetyki elewacji oraz odsłonięcie pierwotnych detali architektonicznych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efektywności energetycznej Przedszkola Miejskiego nr 9 przy ul. Obywatelskiej 6 w Bytomiu (Polski Ład)</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Realizacji 
Inwestycji 
i Remontów</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1 861 772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1 675 594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0</w:t>
            </w:r>
          </w:p>
        </w:tc>
      </w:tr>
      <w:tr>
        <w:tblPrEx>
          <w:tblW w:w="5000" w:type="pct"/>
          <w:tblCellMar>
            <w:left w:w="108" w:type="dxa"/>
            <w:right w:w="108" w:type="dxa"/>
          </w:tblCellMar>
        </w:tblPrEx>
        <w:trPr>
          <w:trHeight w:val="55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efektywności energetycznej budynku Przedszkola Miejskiego nr 9 przy ul. Obywatelskiej w Bytomiu prowadząca do poprawy warunków dla użytkowników budynku, zmniejszenia zużycia energii, emisji zanieczyszczeń, ograniczenia kosztów utrzymania budynku</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Likwidacja niskiej emisji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Bytomskie Mieszkania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1 054 882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150 000</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150 000</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Modernizacja systemu CO w budynkach mieszkalnych, wielorodzinnych wchodzących w skład zasobu gminy Bytom wraz z likwidacją niskiej emisji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ul. Tysiąclecia w Bytomiu (RFRD)</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4 383 805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1 676 091</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557 505</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warunków komunikacyjnych, bezpieczeństwa mieszkańców i emisji spalin</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6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Dotacja celowa z Rządowego Programu Odbudowy Zabytków na realizację zadania inwestycyjnego pn. "Renowacja zabytkowego kościoła św. Wojciecha w Bytomiu, pl. Klasztorny 1"</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Miejskiego Konserwatora Zabytków</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3 571 428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1 685 739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1 885 689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3 571 428</w:t>
            </w:r>
          </w:p>
        </w:tc>
      </w:tr>
      <w:tr>
        <w:tblPrEx>
          <w:tblW w:w="5000" w:type="pct"/>
          <w:tblCellMar>
            <w:left w:w="108" w:type="dxa"/>
            <w:right w:w="108" w:type="dxa"/>
          </w:tblCellMar>
        </w:tblPrEx>
        <w:trPr>
          <w:trHeight w:val="11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Celem projektu jest renowacja zabytkowego kościoła</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Budowa drogi na ulicy Wiejskiej – etap I (Polski Ład Edycja 8) </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2020</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11 090 550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7 848 098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2 548 262</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10 396 360</w:t>
            </w:r>
          </w:p>
        </w:tc>
      </w:tr>
      <w:tr>
        <w:tblPrEx>
          <w:tblW w:w="5000" w:type="pct"/>
          <w:tblCellMar>
            <w:left w:w="108" w:type="dxa"/>
            <w:right w:w="108" w:type="dxa"/>
          </w:tblCellMar>
        </w:tblPrEx>
        <w:trPr>
          <w:trHeight w:val="12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54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Współfinansowanie zadań związanych z realizacją inwestycji "Modernizacja i rozbudowa zespołu boisk treningowych wraz z zapleczem socjalnym przy ul. Olimpijskiej i ul. Piłkarskiej w Bytomiu - Etap II, realizowana przy jednoczesnej transformacji terenów pogórniczych - Faza III i Faza IV"</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Nadzoru Właścicielskiego, Bytomski Sport Polonia Bytom Sp. z o.o</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22 000 000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16 000 000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16 000 000</w:t>
            </w:r>
          </w:p>
        </w:tc>
      </w:tr>
      <w:tr>
        <w:tblPrEx>
          <w:tblW w:w="5000" w:type="pct"/>
          <w:tblCellMar>
            <w:left w:w="108" w:type="dxa"/>
            <w:right w:w="108" w:type="dxa"/>
          </w:tblCellMar>
        </w:tblPrEx>
        <w:trPr>
          <w:trHeight w:val="11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infrastruktury sportowej w mieście</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30"/>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ul. Cyryla i Metodego - etap I (Polski Ład Edycja 8)</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10 690 000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8 714 402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1 975 598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10 690 000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dróg i odwodnienia na części działki o nr geod. 1809/18 w Bytomiu (Polski Ład Edycja 8)</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13 284 000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6 408 808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4 583 461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2 291 731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13 284 000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72"/>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Modernizacja źródeł ciepła w lokalach mieszkalnych
w ramach II edycji Programu Ciepłe Mieszkanie w Gminie Bytom</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Inżynierii Środowiska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5 232 000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2 403 500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2 403 500</w:t>
            </w:r>
          </w:p>
        </w:tc>
      </w:tr>
      <w:tr>
        <w:tblPrEx>
          <w:tblW w:w="5000" w:type="pct"/>
          <w:tblCellMar>
            <w:left w:w="108" w:type="dxa"/>
            <w:right w:w="108" w:type="dxa"/>
          </w:tblCellMar>
        </w:tblPrEx>
        <w:trPr>
          <w:trHeight w:val="1362"/>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jakości powietrza oraz zmniejszenie emisji pyłów oraz gazów cieplarnianych poprzez wymianę źródeł ciepła i poprawę efektywności energetycznej w lokalach mieszkalnych znajdujących się w budynkach mieszkalnych wielorodzinnych. Wsparciem objęte będą przedsięwzięcia polegające na wymianie nieefektywnych źródeł ciepła na paliwo stałe i poprawie efektywności energetycznej w lokalach mieszkalnych znajdujących się budynkach mieszkalnych wielorodzinnych, w tym budynkach, w których powstała wspólnota mieszkaniowa (w rozumieniu ustawy z dnia 24 czerwca 1994 r. o własności lokali) obejmująca od 3 do 7 lokali mieszkalnych, spełniające warunki Programu</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Modernizacja kompleksu sportowego "Moje Boisko" ORLIK 2012 przy ul. Chorzowskiej 28H</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Ośrodek Sportu
i Rekreacji</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958 750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958 750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958 750</w:t>
            </w:r>
          </w:p>
        </w:tc>
      </w:tr>
      <w:tr>
        <w:tblPrEx>
          <w:tblW w:w="5000" w:type="pct"/>
          <w:tblCellMar>
            <w:left w:w="108" w:type="dxa"/>
            <w:right w:w="108" w:type="dxa"/>
          </w:tblCellMar>
        </w:tblPrEx>
        <w:trPr>
          <w:trHeight w:val="11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infrastruktury sportowej w mieście</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Budowa i przebudowa drogi gminnej (ul. Kamieńska) w Bytomiu - etap I </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49 500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49 500</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Usprawnienie komunikacji z Gminnym Punktem Selektywnej Zbiórki Odpadów (PSZOK) planowanego do rozbudowy składowiska odpadów</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efektywności energetycznej w Gminie Bytom (Polski Ład)</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84 274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69 920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12 506</w:t>
            </w:r>
          </w:p>
        </w:tc>
      </w:tr>
      <w:tr>
        <w:tblPrEx>
          <w:tblW w:w="5000" w:type="pct"/>
          <w:tblCellMar>
            <w:left w:w="108" w:type="dxa"/>
            <w:right w:w="108" w:type="dxa"/>
          </w:tblCellMar>
        </w:tblPrEx>
        <w:trPr>
          <w:trHeight w:val="11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Zmniejszenie zużycia energii elektrycznej</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1.3.2.30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łącznika pomiędzy ul. Kolejową a ul. Ignacego Chrzanowskiego w Bytomiu</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51 000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50 000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54"/>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1.3.2.31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systemu oświetlenia sportowego na boisku treningowym przy ul. Modrzewskiego 3 w Bytomiu" wraz z usługą nadzoru Inspektora Nadzoru Budowlanego</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Nadzoru Właścicielskiego</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461 995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461 995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461 995</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efektywności energetycznej oraz funkcjonalności boiska treningowego do piłki nożnej na terenie obiektu sportowego przy ul. Modrzewskiego 3 w Bytomiu</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42"/>
        </w:trPr>
        <w:tc>
          <w:tcPr>
            <w:tcW w:w="40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1.3.2.32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niechronionych uczestników ruchu w Gminie Bytom - 1336/23</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544 688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83 005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45 850</w:t>
            </w:r>
          </w:p>
        </w:tc>
      </w:tr>
      <w:tr>
        <w:tblPrEx>
          <w:tblW w:w="5000" w:type="pct"/>
          <w:tblCellMar>
            <w:left w:w="108" w:type="dxa"/>
            <w:right w:w="108" w:type="dxa"/>
          </w:tblCellMar>
        </w:tblPrEx>
        <w:trPr>
          <w:trHeight w:val="248"/>
        </w:trPr>
        <w:tc>
          <w:tcPr>
            <w:tcW w:w="40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życia jakości mieszkańców Bytomia</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tcBorders>
              <w:top w:val="single" w:sz="2" w:space="0" w:color="000000"/>
              <w:left w:val="nil"/>
              <w:bottom w:val="nil"/>
              <w:right w:val="nil"/>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nil"/>
              <w:bottom w:val="nil"/>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p>
        </w:tc>
        <w:tc>
          <w:tcPr>
            <w:tcW w:w="1040" w:type="dxa"/>
            <w:tcBorders>
              <w:top w:val="single" w:sz="2" w:space="0" w:color="000000"/>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tcBorders>
              <w:top w:val="single" w:sz="2" w:space="0" w:color="000000"/>
              <w:left w:val="nil"/>
              <w:bottom w:val="nil"/>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304" w:type="dxa"/>
            <w:tcBorders>
              <w:top w:val="single" w:sz="2" w:space="0" w:color="000000"/>
              <w:left w:val="nil"/>
              <w:bottom w:val="nil"/>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724" w:type="dxa"/>
            <w:tcBorders>
              <w:top w:val="single" w:sz="2" w:space="0" w:color="000000"/>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62" w:type="dxa"/>
            <w:tcBorders>
              <w:top w:val="single" w:sz="2" w:space="0" w:color="000000"/>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r>
    </w:tbl>
    <w:p>
      <w:pPr>
        <w:sectPr>
          <w:footerReference w:type="default" r:id="rId7"/>
          <w:endnotePr>
            <w:numFmt w:val="decimal"/>
          </w:endnotePr>
          <w:type w:val="nextPage"/>
          <w:pgSz w:w="16838" w:h="11906" w:orient="landscape"/>
          <w:pgMar w:top="1417" w:right="1020" w:bottom="1020" w:left="1020" w:header="708" w:footer="708" w:gutter="0"/>
          <w:cols w:space="708"/>
          <w:docGrid w:linePitch="360"/>
        </w:sectPr>
      </w:pPr>
    </w:p>
    <w:p>
      <w:pPr>
        <w:spacing w:before="280" w:after="280" w:line="276" w:lineRule="auto"/>
        <w:ind w:left="9467" w:right="0" w:firstLine="0"/>
        <w:jc w:val="left"/>
      </w:pPr>
      <w:r>
        <w:t>Załącznik Nr 3 do uchwały</w:t>
      </w:r>
      <w:r>
        <w:t xml:space="preserve"> Nr XII/100/24</w:t>
      </w:r>
      <w:r>
        <w:br/>
      </w:r>
      <w:r>
        <w:t>Rady Miejskiej w Bytomiu</w:t>
      </w:r>
      <w:r>
        <w:br/>
      </w:r>
      <w:r>
        <w:rPr>
          <w:rFonts w:ascii="Arial" w:eastAsia="Arial" w:hAnsi="Arial" w:cs="Arial"/>
          <w:sz w:val="24"/>
        </w:rPr>
        <w:t>z dnia 16 grudnia 2024 r.</w:t>
      </w:r>
      <w:r>
        <w:br/>
      </w:r>
      <w:hyperlink r:id="rId8" w:history="1">
        <w:r>
          <w:rPr>
            <w:rStyle w:val="Hyperlink"/>
          </w:rPr>
          <w:t>Zalacznik3.doc</w:t>
        </w:r>
      </w:hyperlink>
    </w:p>
    <w:sectPr>
      <w:footerReference w:type="default" r:id="rId9"/>
      <w:endnotePr>
        <w:numFmt w:val="decimal"/>
      </w:endnotePr>
      <w:type w:val="nextPage"/>
      <w:pgSz w:w="16838" w:h="11906" w:orient="landscape"/>
      <w:pgMar w:top="1417" w:right="1020" w:bottom="1020" w:left="10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D8CD415A-9898-4152-911B-1D7E060C6B08.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D8CD415A-9898-4152-911B-1D7E060C6B08.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865"/>
      <w:gridCol w:w="49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865"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D8CD415A-9898-4152-911B-1D7E060C6B08. Podpisany</w:t>
          </w:r>
        </w:p>
      </w:tc>
      <w:tc>
        <w:tcPr>
          <w:tcW w:w="4933"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865"/>
      <w:gridCol w:w="49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865"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D8CD415A-9898-4152-911B-1D7E060C6B08. Podpisany</w:t>
          </w:r>
        </w:p>
      </w:tc>
      <w:tc>
        <w:tcPr>
          <w:tcW w:w="4933"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Zalacznik1.pdf" TargetMode="Externa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hyperlink" Target="Zalacznik3.doc" TargetMode="Externa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XII/100/24 z dnia 16 grudnia 2024 r.</dc:title>
  <dc:subject>w sprawie wieloletniej prognozy finansowej miasta Bytomia na lata 2025-2046</dc:subject>
  <dc:creator>asteuer</dc:creator>
  <cp:lastModifiedBy>asteuer</cp:lastModifiedBy>
  <cp:revision>1</cp:revision>
  <dcterms:created xsi:type="dcterms:W3CDTF">2024-12-19T09:41:25Z</dcterms:created>
  <dcterms:modified xsi:type="dcterms:W3CDTF">2024-12-19T09:41:25Z</dcterms:modified>
  <cp:category>Akt prawny</cp:category>
</cp:coreProperties>
</file>