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124835">
      <w:pPr>
        <w:spacing w:line="276" w:lineRule="auto"/>
        <w:jc w:val="center"/>
        <w:rPr>
          <w:b/>
          <w:caps/>
        </w:rPr>
      </w:pPr>
      <w:r>
        <w:rPr>
          <w:b/>
          <w:caps/>
        </w:rPr>
        <w:t>Uchwała Nr VII/63/24</w:t>
      </w:r>
      <w:r>
        <w:rPr>
          <w:b/>
          <w:caps/>
        </w:rPr>
        <w:br/>
        <w:t>Rady Miejskiej w Bytomiu</w:t>
      </w:r>
    </w:p>
    <w:p w:rsidR="00A77B3E" w:rsidRDefault="00124835">
      <w:pPr>
        <w:spacing w:before="280" w:after="280" w:line="276" w:lineRule="auto"/>
        <w:jc w:val="center"/>
        <w:rPr>
          <w:b/>
          <w:caps/>
        </w:rPr>
      </w:pPr>
      <w:r>
        <w:t>z dnia 30 września 2024 r.</w:t>
      </w:r>
    </w:p>
    <w:p w:rsidR="00A77B3E" w:rsidRDefault="00124835">
      <w:pPr>
        <w:keepNext/>
        <w:spacing w:after="480" w:line="276" w:lineRule="auto"/>
        <w:jc w:val="center"/>
      </w:pPr>
      <w:r>
        <w:rPr>
          <w:b/>
        </w:rPr>
        <w:t xml:space="preserve">w sprawie określenia zasad i trybu umarzania, odraczania lub rozkładania na raty należności pieniężnych o charakterze cywilnoprawnym miasta Bytomia oraz jego jednostek </w:t>
      </w:r>
      <w:r>
        <w:rPr>
          <w:b/>
        </w:rPr>
        <w:t>organizacyjnych, warunków dopuszczalności pomocy publicznej, w których ulga będzie stanowić pomoc publiczną oraz wskazania organów uprawnionych do udzielenia przedmiotowych ulg</w:t>
      </w:r>
    </w:p>
    <w:p w:rsidR="00A77B3E" w:rsidRDefault="00124835">
      <w:pPr>
        <w:keepLines/>
        <w:spacing w:before="120" w:after="120" w:line="276" w:lineRule="auto"/>
        <w:ind w:firstLine="227"/>
      </w:pPr>
      <w:r>
        <w:t xml:space="preserve">Na podstawie art. 18 ust. 2 pkt 15 ustawy z dnia 8 marca 1990 r. o samorządzie </w:t>
      </w:r>
      <w:r>
        <w:t>gminnym (Dz. U. z 2024 r. poz. 609, z późn. zm.), art. 12 pkt 11 ustawy z dnia 5 czerwca 1998 r. o samorządzie powiatowym (Dz. U. z 2024 r. poz. 107), art. 4 ust. 1, art. 8 i art. 13 pkt 2 ustawy z dnia 20 lipca 2000 r. o ogłaszaniu aktów normatywnych i ni</w:t>
      </w:r>
      <w:r>
        <w:t>ektórych innych aktów prawnych (Dz. U. z 2019 r. poz. 1461) w zw. z art. 59 ustawy z dnia 27 sierpnia 2009 r. o finansach publicznych (Dz. U. z 2023 r. poz. 1270, z późn. zm.) uchwala się, co następuje:</w:t>
      </w:r>
    </w:p>
    <w:p w:rsidR="00A77B3E" w:rsidRDefault="00124835">
      <w:pPr>
        <w:keepLines/>
        <w:spacing w:before="120" w:after="120" w:line="276" w:lineRule="auto"/>
        <w:ind w:firstLine="340"/>
      </w:pPr>
      <w:r>
        <w:rPr>
          <w:b/>
        </w:rPr>
        <w:t>§ 1. </w:t>
      </w:r>
      <w:r>
        <w:t>Uchwała określa zasady i tryb umarzania, odracza</w:t>
      </w:r>
      <w:r>
        <w:t>nia terminów zapłaty i rozkładania na raty należności pieniężnych o charakterze cywilnoprawnym miasta Bytomia oraz jego jednostek organizacyjnych wymienionych w art. 9 pkt 3 i 13 ustawy z dnia 27 sierpnia 2009 r. o finansach publicznych, zwanych dalej „nal</w:t>
      </w:r>
      <w:r>
        <w:t>eżnościami pieniężnymi”, przypadającymi od osób fizycznych, osób prawnych, a także jednostek organizacyjnych nieposiadających osobowości prawnej, zwanych dalej „dłużnikami”, warunki dopuszczalności pomocy publicznej w przypadkach, w których ulga będzie sta</w:t>
      </w:r>
      <w:r>
        <w:t>nowić pomoc publiczną oraz wskazania organów uprawnionych do udzielania ulg.</w:t>
      </w:r>
    </w:p>
    <w:p w:rsidR="00A77B3E" w:rsidRDefault="00124835">
      <w:pPr>
        <w:keepLines/>
        <w:spacing w:before="120" w:after="120" w:line="276" w:lineRule="auto"/>
        <w:ind w:firstLine="340"/>
      </w:pPr>
      <w:r>
        <w:rPr>
          <w:b/>
        </w:rPr>
        <w:t>§ 2. </w:t>
      </w:r>
      <w:r>
        <w:t>Należności pieniężne mogą zostać umorzone z urzędu w przypadkach wystąpienia okoliczności, o których mowa w art. 56 ust. 1 ustawy z dnia 27 sierpnia 2009 r. o finansach publi</w:t>
      </w:r>
      <w:r>
        <w:t>cznych.</w:t>
      </w:r>
    </w:p>
    <w:p w:rsidR="00A77B3E" w:rsidRDefault="00124835">
      <w:pPr>
        <w:keepLines/>
        <w:spacing w:before="120" w:after="120" w:line="276" w:lineRule="auto"/>
        <w:ind w:firstLine="340"/>
      </w:pPr>
      <w:r>
        <w:rPr>
          <w:b/>
        </w:rPr>
        <w:t>§ 3. </w:t>
      </w:r>
      <w:r>
        <w:t>Należności pieniężne mogą być umarzane w całości lub w części na wniosek dłużnika w przypadku wystąpienia okoliczności wymienionych w art. 59 ust. 1 ustawy z dnia 27 sierpnia 2009 r. o finansach publicznych.</w:t>
      </w:r>
    </w:p>
    <w:p w:rsidR="00A77B3E" w:rsidRDefault="00124835">
      <w:pPr>
        <w:keepLines/>
        <w:spacing w:before="120" w:after="120" w:line="276" w:lineRule="auto"/>
        <w:ind w:firstLine="340"/>
        <w:rPr>
          <w:color w:val="000000"/>
          <w:u w:color="000000"/>
        </w:rPr>
      </w:pPr>
      <w:r>
        <w:rPr>
          <w:b/>
        </w:rPr>
        <w:t>§ 4. </w:t>
      </w:r>
      <w:r>
        <w:t>1. </w:t>
      </w:r>
      <w:r>
        <w:t xml:space="preserve">Na wniosek dłużnika termin </w:t>
      </w:r>
      <w:r>
        <w:t>płatności należności pieniężnej bądź jej części może być odroczony lub jej płatność może zostać rozłożona na raty w przypadku wystąpienia okoliczności wymienionych w art. 59 ust. 1 ustawy z dnia 27 sierpnia 2009 r. o finansach publicznych.</w:t>
      </w:r>
    </w:p>
    <w:p w:rsidR="00A77B3E" w:rsidRDefault="00124835">
      <w:pPr>
        <w:keepLines/>
        <w:spacing w:before="120" w:after="120" w:line="276" w:lineRule="auto"/>
        <w:ind w:firstLine="340"/>
        <w:rPr>
          <w:color w:val="000000"/>
          <w:u w:color="000000"/>
        </w:rPr>
      </w:pPr>
      <w:r>
        <w:t>2. </w:t>
      </w:r>
      <w:r>
        <w:rPr>
          <w:color w:val="000000"/>
          <w:u w:color="000000"/>
        </w:rPr>
        <w:t>Odroczenie te</w:t>
      </w:r>
      <w:r>
        <w:rPr>
          <w:color w:val="000000"/>
          <w:u w:color="000000"/>
        </w:rPr>
        <w:t>rminu płatności należności pieniężnej może być udzielone na okres nie dłuższy niż 12 miesięcy.</w:t>
      </w:r>
    </w:p>
    <w:p w:rsidR="00A77B3E" w:rsidRDefault="00124835">
      <w:pPr>
        <w:keepLines/>
        <w:spacing w:before="120" w:after="120" w:line="276" w:lineRule="auto"/>
        <w:ind w:firstLine="340"/>
        <w:rPr>
          <w:color w:val="000000"/>
          <w:u w:color="000000"/>
        </w:rPr>
      </w:pPr>
      <w:r>
        <w:t>3. </w:t>
      </w:r>
      <w:r>
        <w:rPr>
          <w:color w:val="000000"/>
          <w:u w:color="000000"/>
        </w:rPr>
        <w:t>Okres spłaty należności pieniężnej rozłożonej na raty nie może być dłuższy niż 24 miesiące.</w:t>
      </w:r>
    </w:p>
    <w:p w:rsidR="00A77B3E" w:rsidRDefault="00124835">
      <w:pPr>
        <w:keepLines/>
        <w:spacing w:before="120" w:after="120" w:line="276" w:lineRule="auto"/>
        <w:ind w:firstLine="340"/>
        <w:rPr>
          <w:color w:val="000000"/>
          <w:u w:color="000000"/>
        </w:rPr>
      </w:pPr>
      <w:r>
        <w:rPr>
          <w:b/>
        </w:rPr>
        <w:t>§ 5. </w:t>
      </w:r>
      <w:r>
        <w:rPr>
          <w:color w:val="000000"/>
          <w:u w:color="000000"/>
        </w:rPr>
        <w:t>Podmiotami uprawnionymi do umarzania należności pieniężnej, r</w:t>
      </w:r>
      <w:r>
        <w:rPr>
          <w:color w:val="000000"/>
          <w:u w:color="000000"/>
        </w:rPr>
        <w:t>ozkładania na raty i odraczania terminów płatności należności pieniężnej, są:</w:t>
      </w:r>
    </w:p>
    <w:p w:rsidR="00A77B3E" w:rsidRDefault="00124835">
      <w:pPr>
        <w:spacing w:before="120" w:after="120" w:line="276" w:lineRule="auto"/>
        <w:ind w:left="340" w:hanging="227"/>
        <w:rPr>
          <w:color w:val="000000"/>
          <w:u w:color="000000"/>
        </w:rPr>
      </w:pPr>
      <w:r>
        <w:lastRenderedPageBreak/>
        <w:t>1) </w:t>
      </w:r>
      <w:r>
        <w:rPr>
          <w:color w:val="000000"/>
          <w:u w:color="000000"/>
        </w:rPr>
        <w:t>Prezydent Miasta – do należności pieniężnych pobieranych przez Urząd Miejski;</w:t>
      </w:r>
    </w:p>
    <w:p w:rsidR="00A77B3E" w:rsidRDefault="00124835">
      <w:pPr>
        <w:spacing w:before="120" w:after="120" w:line="276" w:lineRule="auto"/>
        <w:ind w:left="340" w:hanging="227"/>
        <w:rPr>
          <w:color w:val="000000"/>
          <w:u w:color="000000"/>
        </w:rPr>
      </w:pPr>
      <w:r>
        <w:t>2) </w:t>
      </w:r>
      <w:r>
        <w:rPr>
          <w:color w:val="000000"/>
          <w:u w:color="000000"/>
        </w:rPr>
        <w:t>kierownicy jednostek organizacyjnych miasta wymienionych w art. 9 pkt 3 i 13 ustawy z dnia 27 </w:t>
      </w:r>
      <w:r>
        <w:rPr>
          <w:color w:val="000000"/>
          <w:u w:color="000000"/>
        </w:rPr>
        <w:t>sierpnia 2009 r. o finansach publicznych – do należności pieniężnych pobieranych przez te jednostki.</w:t>
      </w:r>
    </w:p>
    <w:p w:rsidR="00A77B3E" w:rsidRDefault="00124835">
      <w:pPr>
        <w:keepLines/>
        <w:spacing w:before="120" w:after="120" w:line="276" w:lineRule="auto"/>
        <w:ind w:firstLine="340"/>
        <w:rPr>
          <w:color w:val="000000"/>
          <w:u w:color="000000"/>
        </w:rPr>
      </w:pPr>
      <w:r>
        <w:rPr>
          <w:b/>
        </w:rPr>
        <w:t>§ 6. </w:t>
      </w:r>
      <w:r>
        <w:rPr>
          <w:color w:val="000000"/>
          <w:u w:color="000000"/>
        </w:rPr>
        <w:t>Umorzenie, odroczenie terminu zapłaty lub rozłożenie na raty należności pieniężnych następuje na podstawie wyrażonego na piśmie jednostronnego oświadc</w:t>
      </w:r>
      <w:r>
        <w:rPr>
          <w:color w:val="000000"/>
          <w:u w:color="000000"/>
        </w:rPr>
        <w:t>zenia woli organu uprawnionego (wierzyciela) lub na podstawie umowy stron (wierzyciela i dłużnika). Odmowa udzielenia ulgi następuje na podstawie wyrażonego na piśmie jednostronnego oświadczenia woli organu uprawnionego.</w:t>
      </w:r>
    </w:p>
    <w:p w:rsidR="00A77B3E" w:rsidRDefault="00124835">
      <w:pPr>
        <w:keepLines/>
        <w:spacing w:before="120" w:after="120" w:line="276" w:lineRule="auto"/>
        <w:ind w:firstLine="340"/>
        <w:rPr>
          <w:color w:val="000000"/>
          <w:u w:color="000000"/>
        </w:rPr>
      </w:pPr>
      <w:r>
        <w:rPr>
          <w:b/>
        </w:rPr>
        <w:t>§ 7. </w:t>
      </w:r>
      <w:r>
        <w:t>1. </w:t>
      </w:r>
      <w:r>
        <w:rPr>
          <w:color w:val="000000"/>
          <w:u w:color="000000"/>
        </w:rPr>
        <w:t xml:space="preserve">Do udzielania ulg będących </w:t>
      </w:r>
      <w:r>
        <w:rPr>
          <w:color w:val="000000"/>
          <w:u w:color="000000"/>
        </w:rPr>
        <w:t>pomocą publiczną w odniesieniu do dłużników będących podmiotami gospodarczymi prowadzącymi działalność gospodarczą, mają zastosowanie przepisy ustawy z dnia 30 kwietnia 2004 r. o postępowaniu w sprawach dotyczących pomocy publicznej (Dz. U. z 2023 r. poz. </w:t>
      </w:r>
      <w:r>
        <w:rPr>
          <w:color w:val="000000"/>
          <w:u w:color="000000"/>
        </w:rPr>
        <w:t>702). Ulga może być udzielana na wniosek dłużnika.</w:t>
      </w:r>
    </w:p>
    <w:p w:rsidR="00A77B3E" w:rsidRDefault="00124835">
      <w:pPr>
        <w:keepLines/>
        <w:spacing w:before="120" w:after="120" w:line="276" w:lineRule="auto"/>
        <w:ind w:firstLine="340"/>
        <w:rPr>
          <w:color w:val="000000"/>
          <w:u w:color="000000"/>
        </w:rPr>
      </w:pPr>
      <w:r>
        <w:t>2. </w:t>
      </w:r>
      <w:r>
        <w:rPr>
          <w:color w:val="000000"/>
          <w:u w:color="000000"/>
        </w:rPr>
        <w:t>Ulgi, o których mowa w art. 56 ust. 1 pkt 5 ustawy z dnia 27 sierpnia 2009 r. o finansach publicznych, a także w § 3 oraz w § 4 niniejszej uchwały, w odniesieniu do podmiotów prowadzących działalność go</w:t>
      </w:r>
      <w:r>
        <w:rPr>
          <w:color w:val="000000"/>
          <w:u w:color="000000"/>
        </w:rPr>
        <w:t>spodarczą i związane z prowadzoną przez te podmioty działalnością gospodarczą, w tym działalnością w rolnictwie i rybołówstwie, mogą stanowić pomoc de minimis, pomoc de minimis w rolnictwie lub rybołówstwie i udzielane są zgodnie z przepisami określonymi w</w:t>
      </w:r>
      <w:r>
        <w:rPr>
          <w:color w:val="000000"/>
          <w:u w:color="000000"/>
        </w:rPr>
        <w:t>:</w:t>
      </w:r>
    </w:p>
    <w:p w:rsidR="00A77B3E" w:rsidRDefault="00124835">
      <w:pPr>
        <w:spacing w:before="120" w:after="120" w:line="276" w:lineRule="auto"/>
        <w:ind w:left="340" w:hanging="227"/>
        <w:rPr>
          <w:color w:val="000000"/>
          <w:u w:color="000000"/>
        </w:rPr>
      </w:pPr>
      <w:r>
        <w:t>1) </w:t>
      </w:r>
      <w:r>
        <w:rPr>
          <w:color w:val="000000"/>
          <w:u w:color="000000"/>
        </w:rPr>
        <w:t>rozporządzeniu Komisji (UE) nr 2023/2831 z dnia 13 grudnia 2023 r. w sprawie stosowania art. 107 i 108 Traktatu o funkcjonowaniu Unii Europejskiej do pomocy de minimis (Dz. Urz. UE L, 2023/2831 z 15.12.2023);</w:t>
      </w:r>
    </w:p>
    <w:p w:rsidR="00A77B3E" w:rsidRDefault="00124835">
      <w:pPr>
        <w:spacing w:before="120" w:after="120" w:line="276" w:lineRule="auto"/>
        <w:ind w:left="340" w:hanging="227"/>
        <w:rPr>
          <w:color w:val="000000"/>
          <w:u w:color="000000"/>
        </w:rPr>
      </w:pPr>
      <w:r>
        <w:t>2) </w:t>
      </w:r>
      <w:r>
        <w:rPr>
          <w:color w:val="000000"/>
          <w:u w:color="000000"/>
        </w:rPr>
        <w:t>rozporządzeniu Komisji (UE) nr 1408/201</w:t>
      </w:r>
      <w:r>
        <w:rPr>
          <w:color w:val="000000"/>
          <w:u w:color="000000"/>
        </w:rPr>
        <w:t>3 z dnia 18 grudnia 2013 r. w sprawie stosowania art. 107 i 108 Traktatu o funkcjonowaniu Unii Europejskiej do pomocy de minimis w sektorze rolnym (Dz. Urz. UE L, 352 z 24.12.2013, str. 9, z późn. zm.);</w:t>
      </w:r>
    </w:p>
    <w:p w:rsidR="00A77B3E" w:rsidRDefault="00124835">
      <w:pPr>
        <w:spacing w:before="120" w:after="120" w:line="276" w:lineRule="auto"/>
        <w:ind w:left="340" w:hanging="227"/>
        <w:rPr>
          <w:color w:val="000000"/>
          <w:u w:color="000000"/>
        </w:rPr>
      </w:pPr>
      <w:r>
        <w:t>3) </w:t>
      </w:r>
      <w:r>
        <w:rPr>
          <w:color w:val="000000"/>
          <w:u w:color="000000"/>
        </w:rPr>
        <w:t>rozporządzenie Komisji (UE) nr 717/2014 z dnia 27 </w:t>
      </w:r>
      <w:r>
        <w:rPr>
          <w:color w:val="000000"/>
          <w:u w:color="000000"/>
        </w:rPr>
        <w:t>czerwca 2014 r. w sprawie stosowania art. 107 i 108 Traktatu o funkcjonowaniu Unii Europejskiej do pomocy de minimis w sektorze rybołówstwa i akwakultury (Dz. Urz. UE L, 190 z 28.06.2014, str. 45, z późn. zm.);</w:t>
      </w:r>
    </w:p>
    <w:p w:rsidR="00A77B3E" w:rsidRDefault="00124835">
      <w:pPr>
        <w:spacing w:before="120" w:after="120" w:line="276" w:lineRule="auto"/>
        <w:ind w:left="340" w:hanging="227"/>
        <w:rPr>
          <w:color w:val="000000"/>
          <w:u w:color="000000"/>
        </w:rPr>
      </w:pPr>
      <w:r>
        <w:t>4) </w:t>
      </w:r>
      <w:r>
        <w:rPr>
          <w:color w:val="000000"/>
          <w:u w:color="000000"/>
        </w:rPr>
        <w:t>rozporządzenie Komisji (UE) nr 2023/2832 z</w:t>
      </w:r>
      <w:r>
        <w:rPr>
          <w:color w:val="000000"/>
          <w:u w:color="000000"/>
        </w:rPr>
        <w:t> dnia 13 grudnia 2023 r. w sprawie stosowania art. 107 i 108 Traktatu o funkcjonowaniu Unii Europejskiej do pomocy de minimis przyznawanej przedsiębiorstwom wykonującym usługi świadczone w ogólnym interesie gospodarczym (Dz. Urz. UE L, 2023/2832 z 15.12 20</w:t>
      </w:r>
      <w:r>
        <w:rPr>
          <w:color w:val="000000"/>
          <w:u w:color="000000"/>
        </w:rPr>
        <w:t>23).</w:t>
      </w:r>
    </w:p>
    <w:p w:rsidR="00A77B3E" w:rsidRDefault="00124835">
      <w:pPr>
        <w:keepLines/>
        <w:spacing w:before="120" w:after="120" w:line="276" w:lineRule="auto"/>
        <w:ind w:firstLine="340"/>
        <w:rPr>
          <w:color w:val="000000"/>
          <w:u w:color="000000"/>
        </w:rPr>
      </w:pPr>
      <w:r>
        <w:t>3. </w:t>
      </w:r>
      <w:r>
        <w:rPr>
          <w:color w:val="000000"/>
          <w:u w:color="000000"/>
        </w:rPr>
        <w:t>Podmiot ubiegający się o pomoc de minimis jest zobowiązany do przedstawienia podmiotowi udzielającemu pomocy, wraz z wnioskiem o udzielenie pomocy:</w:t>
      </w:r>
    </w:p>
    <w:p w:rsidR="00A77B3E" w:rsidRDefault="00124835">
      <w:pPr>
        <w:spacing w:before="120" w:after="120" w:line="276" w:lineRule="auto"/>
        <w:ind w:left="340" w:hanging="227"/>
        <w:rPr>
          <w:color w:val="000000"/>
          <w:u w:color="000000"/>
        </w:rPr>
      </w:pPr>
      <w:r>
        <w:t>1) </w:t>
      </w:r>
      <w:r>
        <w:rPr>
          <w:color w:val="000000"/>
          <w:u w:color="000000"/>
        </w:rPr>
        <w:t>wszystkich zaświadczeń o pomocy de minimis oraz o pomocy de minimis w rolnictwie i w </w:t>
      </w:r>
      <w:r>
        <w:rPr>
          <w:color w:val="000000"/>
          <w:u w:color="000000"/>
        </w:rPr>
        <w:t>rybołówstwie, jakie otrzymał w ciągu minionych trzech lat albo oświadczenia o wielkości tej pomocy otrzymanej w tym okresie, albo oświadczenia o nieotrzymaniu takiej pomocy w tym okresie;</w:t>
      </w:r>
    </w:p>
    <w:p w:rsidR="00A77B3E" w:rsidRDefault="00124835">
      <w:pPr>
        <w:spacing w:before="120" w:after="120" w:line="276" w:lineRule="auto"/>
        <w:ind w:left="340" w:hanging="227"/>
        <w:rPr>
          <w:color w:val="000000"/>
          <w:u w:color="000000"/>
        </w:rPr>
      </w:pPr>
      <w:r>
        <w:lastRenderedPageBreak/>
        <w:t>2) </w:t>
      </w:r>
      <w:r>
        <w:rPr>
          <w:color w:val="000000"/>
          <w:u w:color="000000"/>
        </w:rPr>
        <w:t>informacji, o których mowa w art. 37 ust. 1 pkt 2 ustawy z dnia 3</w:t>
      </w:r>
      <w:r>
        <w:rPr>
          <w:color w:val="000000"/>
          <w:u w:color="000000"/>
        </w:rPr>
        <w:t>0 kwietnia 2004 r. o postępowaniu w sprawach dotyczących pomocy publicznej (Dz. U. z 2023 r. poz. 702);</w:t>
      </w:r>
    </w:p>
    <w:p w:rsidR="00A77B3E" w:rsidRDefault="00124835">
      <w:pPr>
        <w:spacing w:before="120" w:after="120" w:line="276" w:lineRule="auto"/>
        <w:ind w:left="340" w:hanging="227"/>
        <w:rPr>
          <w:color w:val="000000"/>
          <w:u w:color="000000"/>
        </w:rPr>
      </w:pPr>
      <w:r>
        <w:t>3) </w:t>
      </w:r>
      <w:r>
        <w:rPr>
          <w:color w:val="000000"/>
          <w:u w:color="000000"/>
        </w:rPr>
        <w:t xml:space="preserve">informacji określonych w rozporządzeniu Rady Ministrów z dnia 29 marca 2010 r. w sprawie zakresu informacji przedstawianych przez podmiot ubiegający </w:t>
      </w:r>
      <w:r>
        <w:rPr>
          <w:color w:val="000000"/>
          <w:u w:color="000000"/>
        </w:rPr>
        <w:t>się o pomoc de minimis (Dz. U. z 2024 r. poz. 40).</w:t>
      </w:r>
    </w:p>
    <w:p w:rsidR="00A77B3E" w:rsidRDefault="00124835">
      <w:pPr>
        <w:keepLines/>
        <w:spacing w:before="120" w:after="120" w:line="276" w:lineRule="auto"/>
        <w:ind w:firstLine="340"/>
        <w:rPr>
          <w:color w:val="000000"/>
          <w:u w:color="000000"/>
        </w:rPr>
      </w:pPr>
      <w:r>
        <w:t>4. </w:t>
      </w:r>
      <w:r>
        <w:rPr>
          <w:color w:val="000000"/>
          <w:u w:color="000000"/>
        </w:rPr>
        <w:t>Podmiot ubiegający się o pomoc de minimis w rolnictwie lub rybołówstwie i akwakulturze jest zobowiązany do przedstawienia podmiotowi udzielającemu pomocy, wraz z wnioskiem o udzielenie pomocy:</w:t>
      </w:r>
    </w:p>
    <w:p w:rsidR="00A77B3E" w:rsidRDefault="00124835">
      <w:pPr>
        <w:spacing w:before="120" w:after="120" w:line="276" w:lineRule="auto"/>
        <w:ind w:left="340" w:hanging="227"/>
        <w:rPr>
          <w:color w:val="000000"/>
          <w:u w:color="000000"/>
        </w:rPr>
      </w:pPr>
      <w:r>
        <w:t>1) </w:t>
      </w:r>
      <w:r>
        <w:rPr>
          <w:color w:val="000000"/>
          <w:u w:color="000000"/>
        </w:rPr>
        <w:t>dokume</w:t>
      </w:r>
      <w:r>
        <w:rPr>
          <w:color w:val="000000"/>
          <w:u w:color="000000"/>
        </w:rPr>
        <w:t>ntów określonych w art. 37 ust. 2 ustawy o postępowaniu w sprawach dotyczących pomocy publicznej (Dz. U. z 2023 r. poz. 702) oraz</w:t>
      </w:r>
    </w:p>
    <w:p w:rsidR="00A77B3E" w:rsidRDefault="00124835">
      <w:pPr>
        <w:spacing w:before="120" w:after="120" w:line="276" w:lineRule="auto"/>
        <w:ind w:left="340" w:hanging="227"/>
        <w:rPr>
          <w:color w:val="000000"/>
          <w:u w:color="000000"/>
        </w:rPr>
      </w:pPr>
      <w:r>
        <w:t>2) </w:t>
      </w:r>
      <w:r>
        <w:rPr>
          <w:color w:val="000000"/>
          <w:u w:color="000000"/>
        </w:rPr>
        <w:t>informacji określonych w rozporządzeniu Rady Ministrów z dnia 11 czerwca 2010 r. w sprawie informacji składanych przez podm</w:t>
      </w:r>
      <w:r>
        <w:rPr>
          <w:color w:val="000000"/>
          <w:u w:color="000000"/>
        </w:rPr>
        <w:t>ioty ubiegające się o pomoc de minimis w rolnictwie lub rybołówstwie (Dz. U. z 2010 r., Nr 121, poz. 810).</w:t>
      </w:r>
    </w:p>
    <w:p w:rsidR="00A77B3E" w:rsidRDefault="00124835">
      <w:pPr>
        <w:keepLines/>
        <w:spacing w:before="120" w:after="120" w:line="276" w:lineRule="auto"/>
        <w:ind w:firstLine="340"/>
        <w:rPr>
          <w:color w:val="000000"/>
          <w:u w:color="000000"/>
        </w:rPr>
      </w:pPr>
      <w:r>
        <w:t>5. </w:t>
      </w:r>
      <w:r>
        <w:rPr>
          <w:color w:val="000000"/>
          <w:u w:color="000000"/>
        </w:rPr>
        <w:t xml:space="preserve">Całkowita wartość udzielonej dłużnikowi pomocy de minimis nie może przekroczyć równowartości kwoty, o której mowa w rozporządzeniach Komisji (UE) </w:t>
      </w:r>
      <w:r>
        <w:rPr>
          <w:color w:val="000000"/>
          <w:u w:color="000000"/>
        </w:rPr>
        <w:t>wymienionych w § 7 ust. 2.</w:t>
      </w:r>
    </w:p>
    <w:p w:rsidR="00A77B3E" w:rsidRDefault="00124835">
      <w:pPr>
        <w:keepLines/>
        <w:spacing w:before="120" w:after="120" w:line="276" w:lineRule="auto"/>
        <w:ind w:firstLine="340"/>
        <w:rPr>
          <w:color w:val="000000"/>
          <w:u w:color="000000"/>
        </w:rPr>
      </w:pPr>
      <w:r>
        <w:t>6. </w:t>
      </w:r>
      <w:r>
        <w:rPr>
          <w:color w:val="000000"/>
          <w:u w:color="000000"/>
        </w:rPr>
        <w:t>Udzielenie pomocy de minimis potwierdza się wydaniem zaświadczenia o pomocy zgodnie z rozporządzeniem Rady Ministrów z dnia 20 marca 2007 r. w sprawie zaświadczeń o pomocy de minimis i pomocy w rolnictwie lub w rybołówstwie (D</w:t>
      </w:r>
      <w:r>
        <w:rPr>
          <w:color w:val="000000"/>
          <w:u w:color="000000"/>
        </w:rPr>
        <w:t>z. U. z 2018 r. poz. 350, z późn. zm).</w:t>
      </w:r>
    </w:p>
    <w:p w:rsidR="00A77B3E" w:rsidRDefault="00124835">
      <w:pPr>
        <w:keepLines/>
        <w:spacing w:before="120" w:after="120" w:line="276" w:lineRule="auto"/>
        <w:ind w:firstLine="340"/>
        <w:rPr>
          <w:color w:val="000000"/>
          <w:u w:color="000000"/>
        </w:rPr>
      </w:pPr>
      <w:r>
        <w:t>7. </w:t>
      </w:r>
      <w:r>
        <w:rPr>
          <w:color w:val="000000"/>
          <w:u w:color="000000"/>
        </w:rPr>
        <w:t>W zakresie, w jakim uchwała przewiduje udzielenie pomocy de minimis na podstawie rozporządzenia określonego w:</w:t>
      </w:r>
    </w:p>
    <w:p w:rsidR="00A77B3E" w:rsidRDefault="00124835">
      <w:pPr>
        <w:spacing w:before="120" w:after="120" w:line="276" w:lineRule="auto"/>
        <w:ind w:left="340" w:hanging="227"/>
        <w:rPr>
          <w:color w:val="000000"/>
          <w:u w:color="000000"/>
        </w:rPr>
      </w:pPr>
      <w:r>
        <w:t>1) </w:t>
      </w:r>
      <w:r>
        <w:rPr>
          <w:color w:val="000000"/>
          <w:u w:color="000000"/>
        </w:rPr>
        <w:t>ust. 2 pkt 1 – jej przepisy obowiązują do dnia 30 czerwca 2031 r.;</w:t>
      </w:r>
    </w:p>
    <w:p w:rsidR="00A77B3E" w:rsidRDefault="00124835">
      <w:pPr>
        <w:spacing w:before="120" w:after="120" w:line="276" w:lineRule="auto"/>
        <w:ind w:left="340" w:hanging="227"/>
        <w:rPr>
          <w:color w:val="000000"/>
          <w:u w:color="000000"/>
        </w:rPr>
      </w:pPr>
      <w:r>
        <w:t>2) </w:t>
      </w:r>
      <w:r>
        <w:rPr>
          <w:color w:val="000000"/>
          <w:u w:color="000000"/>
        </w:rPr>
        <w:t>ust. 2 pkt 2 – jej przepisy ob</w:t>
      </w:r>
      <w:r>
        <w:rPr>
          <w:color w:val="000000"/>
          <w:u w:color="000000"/>
        </w:rPr>
        <w:t>owiązują do dnia 30 czerwca 2028 r.;</w:t>
      </w:r>
    </w:p>
    <w:p w:rsidR="00A77B3E" w:rsidRDefault="00124835">
      <w:pPr>
        <w:spacing w:before="120" w:after="120" w:line="276" w:lineRule="auto"/>
        <w:ind w:left="340" w:hanging="227"/>
        <w:rPr>
          <w:color w:val="000000"/>
          <w:u w:color="000000"/>
        </w:rPr>
      </w:pPr>
      <w:r>
        <w:t>3) </w:t>
      </w:r>
      <w:r>
        <w:rPr>
          <w:color w:val="000000"/>
          <w:u w:color="000000"/>
        </w:rPr>
        <w:t>ust. 2 pkt 3 – jej przepisy obowiązują do dnia 30 czerwca 2030 r.;</w:t>
      </w:r>
    </w:p>
    <w:p w:rsidR="00A77B3E" w:rsidRDefault="00124835">
      <w:pPr>
        <w:spacing w:before="120" w:after="120" w:line="276" w:lineRule="auto"/>
        <w:ind w:left="340" w:hanging="227"/>
        <w:rPr>
          <w:color w:val="000000"/>
          <w:u w:color="000000"/>
        </w:rPr>
      </w:pPr>
      <w:r>
        <w:t>4) </w:t>
      </w:r>
      <w:r>
        <w:rPr>
          <w:color w:val="000000"/>
          <w:u w:color="000000"/>
        </w:rPr>
        <w:t>ust. 2 pkt 4 – jej przepisy obowiązują do dnia 30 czerwca 2031 r.</w:t>
      </w:r>
    </w:p>
    <w:p w:rsidR="00A77B3E" w:rsidRDefault="00124835">
      <w:pPr>
        <w:keepLines/>
        <w:spacing w:before="120" w:after="120" w:line="276" w:lineRule="auto"/>
        <w:ind w:firstLine="340"/>
        <w:rPr>
          <w:color w:val="000000"/>
          <w:u w:color="000000"/>
        </w:rPr>
      </w:pPr>
      <w:r>
        <w:rPr>
          <w:b/>
        </w:rPr>
        <w:t>§ 8. </w:t>
      </w:r>
      <w:r>
        <w:rPr>
          <w:color w:val="000000"/>
          <w:u w:color="000000"/>
        </w:rPr>
        <w:t>Wykonanie uchwały powierza się Prezydentowi Miasta.</w:t>
      </w:r>
    </w:p>
    <w:p w:rsidR="00A77B3E" w:rsidRDefault="00124835">
      <w:pPr>
        <w:keepNext/>
        <w:keepLines/>
        <w:spacing w:before="120" w:after="120" w:line="276" w:lineRule="auto"/>
        <w:ind w:firstLine="340"/>
        <w:rPr>
          <w:color w:val="000000"/>
          <w:u w:color="000000"/>
        </w:rPr>
      </w:pPr>
      <w:r>
        <w:rPr>
          <w:b/>
        </w:rPr>
        <w:t>§ 9. </w:t>
      </w:r>
      <w:r>
        <w:rPr>
          <w:color w:val="000000"/>
          <w:u w:color="000000"/>
        </w:rPr>
        <w:t>Uchwała wchodzi w </w:t>
      </w:r>
      <w:r>
        <w:rPr>
          <w:color w:val="000000"/>
          <w:u w:color="000000"/>
        </w:rPr>
        <w:t>życie po upływie 14 dni od dnia ogłoszenia w Dzienniku Urzędowym Województwa Śląskiego.</w:t>
      </w:r>
    </w:p>
    <w:p w:rsidR="00A77B3E" w:rsidRDefault="00124835">
      <w:pPr>
        <w:keepNext/>
        <w:keepLines/>
        <w:spacing w:before="120" w:after="120" w:line="276" w:lineRule="auto"/>
        <w:ind w:firstLine="227"/>
        <w:rPr>
          <w:color w:val="000000"/>
          <w:u w:color="000000"/>
        </w:rPr>
      </w:pPr>
      <w:r>
        <w:rPr>
          <w:color w:val="000000"/>
          <w:u w:color="000000"/>
        </w:rPr>
        <w:t>  </w:t>
      </w:r>
    </w:p>
    <w:p w:rsidR="00A77B3E" w:rsidRDefault="00124835">
      <w:pPr>
        <w:keepNext/>
        <w:rPr>
          <w:color w:val="000000"/>
          <w:u w:color="000000"/>
        </w:rPr>
      </w:pPr>
      <w:r>
        <w:rPr>
          <w:color w:val="000000"/>
        </w:rPr>
        <w:t> </w:t>
      </w:r>
    </w:p>
    <w:tbl>
      <w:tblPr>
        <w:tblW w:w="5000" w:type="pct"/>
        <w:tblCellMar>
          <w:left w:w="0" w:type="dxa"/>
          <w:right w:w="0" w:type="dxa"/>
        </w:tblCellMar>
        <w:tblLook w:val="04A0"/>
      </w:tblPr>
      <w:tblGrid>
        <w:gridCol w:w="4933"/>
        <w:gridCol w:w="4933"/>
      </w:tblGrid>
      <w:tr w:rsidR="00B34365">
        <w:tc>
          <w:tcPr>
            <w:tcW w:w="2500" w:type="pct"/>
            <w:tcMar>
              <w:top w:w="0" w:type="dxa"/>
              <w:left w:w="0" w:type="dxa"/>
              <w:bottom w:w="0" w:type="dxa"/>
              <w:right w:w="0" w:type="dxa"/>
            </w:tcMar>
            <w:hideMark/>
          </w:tcPr>
          <w:p w:rsidR="00B34365" w:rsidRDefault="00B34365">
            <w:pPr>
              <w:keepNext/>
              <w:keepLines/>
              <w:rPr>
                <w:color w:val="000000"/>
              </w:rPr>
            </w:pPr>
          </w:p>
        </w:tc>
        <w:tc>
          <w:tcPr>
            <w:tcW w:w="2500" w:type="pct"/>
            <w:tcMar>
              <w:top w:w="0" w:type="dxa"/>
              <w:left w:w="0" w:type="dxa"/>
              <w:bottom w:w="0" w:type="dxa"/>
              <w:right w:w="0" w:type="dxa"/>
            </w:tcMar>
            <w:hideMark/>
          </w:tcPr>
          <w:p w:rsidR="00B34365" w:rsidRDefault="00124835">
            <w:pPr>
              <w:keepNext/>
              <w:keepLines/>
              <w:spacing w:before="100" w:after="40"/>
              <w:ind w:left="1134" w:right="1134"/>
              <w:jc w:val="center"/>
              <w:rPr>
                <w:color w:val="000000"/>
              </w:rPr>
            </w:pPr>
            <w:r>
              <w:rPr>
                <w:color w:val="000000"/>
              </w:rPr>
              <w:t>Przewodniczący Rady Miejskiej</w:t>
            </w:r>
            <w:r>
              <w:rPr>
                <w:color w:val="000000"/>
              </w:rPr>
              <w:br/>
            </w:r>
            <w:r>
              <w:rPr>
                <w:color w:val="000000"/>
              </w:rPr>
              <w:br/>
            </w:r>
            <w:r>
              <w:rPr>
                <w:color w:val="000000"/>
              </w:rPr>
              <w:br/>
            </w:r>
            <w:r>
              <w:rPr>
                <w:b/>
              </w:rPr>
              <w:t>Michał Staniszewski</w:t>
            </w:r>
          </w:p>
        </w:tc>
      </w:tr>
    </w:tbl>
    <w:p w:rsidR="00A77B3E" w:rsidRDefault="00A77B3E">
      <w:pPr>
        <w:keepNext/>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p>
    <w:p w:rsidR="00B34365" w:rsidRDefault="00B34365">
      <w:pPr>
        <w:rPr>
          <w:rFonts w:eastAsia="Times New Roman" w:cs="Times New Roman"/>
          <w:szCs w:val="20"/>
        </w:rPr>
      </w:pPr>
    </w:p>
    <w:p w:rsidR="00B34365" w:rsidRDefault="00124835">
      <w:pPr>
        <w:jc w:val="center"/>
        <w:rPr>
          <w:rFonts w:eastAsia="Times New Roman" w:cs="Times New Roman"/>
          <w:szCs w:val="20"/>
        </w:rPr>
      </w:pPr>
      <w:r>
        <w:rPr>
          <w:rFonts w:eastAsia="Times New Roman" w:cs="Times New Roman"/>
          <w:caps/>
          <w:szCs w:val="20"/>
        </w:rPr>
        <w:t>Uzasadnienie</w:t>
      </w:r>
    </w:p>
    <w:p w:rsidR="00B34365" w:rsidRDefault="00124835">
      <w:pPr>
        <w:spacing w:before="120" w:after="120" w:line="276" w:lineRule="auto"/>
        <w:ind w:firstLine="227"/>
        <w:rPr>
          <w:rFonts w:eastAsia="Times New Roman" w:cs="Times New Roman"/>
          <w:szCs w:val="20"/>
        </w:rPr>
      </w:pPr>
      <w:r>
        <w:rPr>
          <w:rFonts w:eastAsia="Times New Roman" w:cs="Times New Roman"/>
          <w:szCs w:val="20"/>
        </w:rPr>
        <w:t xml:space="preserve">Uchwała realizuje zawartą w art. 59 ustawy z dnia 27 sierpnia 2009 r. o finansach publicznych (Dz. U. z 2023 r. poz. 1270, z późn. zm.) delegację, która to </w:t>
      </w:r>
      <w:r>
        <w:rPr>
          <w:rFonts w:eastAsia="Times New Roman" w:cs="Times New Roman"/>
          <w:szCs w:val="20"/>
        </w:rPr>
        <w:t>nakłada na organy stanowiące jednostek samorządu terytorialnego obowiązek określenia szczegółowych zasad umarzania, rozkładania na raty oraz odraczania terminów zapłaty należności cywilnoprawnych oraz warunków dopuszczalności pomocy publicznej w przypadkac</w:t>
      </w:r>
      <w:r>
        <w:rPr>
          <w:rFonts w:eastAsia="Times New Roman" w:cs="Times New Roman"/>
          <w:szCs w:val="20"/>
        </w:rPr>
        <w:t>h, w których ulga będzie stanowić pomoc publiczną. Do kompetencji organów stanowiących jednostki samorządu terytorialnego należy również wskazanie organów lub osób uprawnionych do udzielania przedmiotowych ulg. Uchwała dostosowuje swą treść do aktualnie ob</w:t>
      </w:r>
      <w:r>
        <w:rPr>
          <w:rFonts w:eastAsia="Times New Roman" w:cs="Times New Roman"/>
          <w:szCs w:val="20"/>
        </w:rPr>
        <w:t>owiązujących przepisów rozporządzeń Komisji (UE): nr 2023/2831 z dnia 13 grudnia 2023 r. w sprawie stosowania art. 107 i 108 Traktatu o funkcjonowaniu Unii Europejskiej do pomocy de minimis (Dz. Urz. UE L, 2023/2831 z 15.12.2023), nr 1408/2013 z dnia 18 gr</w:t>
      </w:r>
      <w:r>
        <w:rPr>
          <w:rFonts w:eastAsia="Times New Roman" w:cs="Times New Roman"/>
          <w:szCs w:val="20"/>
        </w:rPr>
        <w:t>udnia 2013 r. w sprawie stosowania art. 107 i 108 Traktatu o funkcjonowaniu Unii Europejskiej do pomocy de minimis w sektorze rolnym (Dz. Urz. UE L, 352 z 24.12.2013, str. 9, z późn. zm.), nr 717/2014 z dnia 27 czerwca 2014 r. w sprawie stosowania art. 107</w:t>
      </w:r>
      <w:r>
        <w:rPr>
          <w:rFonts w:eastAsia="Times New Roman" w:cs="Times New Roman"/>
          <w:szCs w:val="20"/>
        </w:rPr>
        <w:t> i 108 Traktatu o funkcjonowaniu Unii Europejskiej do pomocy de minimis w sektorze rybołówstwa i akwakultury (Dz. Urz. UE L, 190 z 28.06.2014, str. 45, z późn. zm.), nr 2023/2832 z dnia 13 grudnia 2023 r. w sprawie stosowania art. 107 i 108 Traktatu o funk</w:t>
      </w:r>
      <w:r>
        <w:rPr>
          <w:rFonts w:eastAsia="Times New Roman" w:cs="Times New Roman"/>
          <w:szCs w:val="20"/>
        </w:rPr>
        <w:t>cjonowaniu Unii Europejskiej do pomocy de minimis przyznawanej przedsiębiorstwom wykonującym usługi świadczone w ogólnym interesie gospodarczym (Dz. Urz. UE L, 2023/2832 z 15.12 2023).</w:t>
      </w:r>
    </w:p>
    <w:p w:rsidR="00B34365" w:rsidRDefault="00124835">
      <w:pPr>
        <w:spacing w:before="120" w:after="120" w:line="276" w:lineRule="auto"/>
        <w:ind w:firstLine="227"/>
        <w:rPr>
          <w:rFonts w:eastAsia="Times New Roman" w:cs="Times New Roman"/>
          <w:szCs w:val="20"/>
        </w:rPr>
      </w:pPr>
      <w:r>
        <w:rPr>
          <w:rFonts w:eastAsia="Times New Roman" w:cs="Times New Roman"/>
          <w:szCs w:val="20"/>
        </w:rPr>
        <w:t>Uchwała zawiera szczegółowe, stosowane w ustawie o finansach publicznyc</w:t>
      </w:r>
      <w:r>
        <w:rPr>
          <w:rFonts w:eastAsia="Times New Roman" w:cs="Times New Roman"/>
          <w:szCs w:val="20"/>
        </w:rPr>
        <w:t>h, zasady i tryb udzielania ulg oraz wskazuje uprawnionych do ich udzielania.</w:t>
      </w:r>
    </w:p>
    <w:sectPr w:rsidR="00B34365" w:rsidSect="00B34365">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365" w:rsidRDefault="00B34365" w:rsidP="00B34365">
      <w:r>
        <w:separator/>
      </w:r>
    </w:p>
  </w:endnote>
  <w:endnote w:type="continuationSeparator" w:id="0">
    <w:p w:rsidR="00B34365" w:rsidRDefault="00B34365" w:rsidP="00B343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B34365">
      <w:tc>
        <w:tcPr>
          <w:tcW w:w="6577" w:type="dxa"/>
          <w:tcBorders>
            <w:top w:val="single" w:sz="4" w:space="0" w:color="auto"/>
            <w:left w:val="nil"/>
            <w:bottom w:val="nil"/>
            <w:right w:val="nil"/>
          </w:tcBorders>
          <w:tcMar>
            <w:top w:w="100" w:type="dxa"/>
            <w:left w:w="0" w:type="dxa"/>
            <w:bottom w:w="0" w:type="dxa"/>
            <w:right w:w="0" w:type="dxa"/>
          </w:tcMar>
          <w:hideMark/>
        </w:tcPr>
        <w:p w:rsidR="00B34365" w:rsidRDefault="00124835">
          <w:pPr>
            <w:rPr>
              <w:sz w:val="18"/>
            </w:rPr>
          </w:pPr>
          <w:r>
            <w:rPr>
              <w:sz w:val="18"/>
            </w:rPr>
            <w:t xml:space="preserve">Id: </w:t>
          </w:r>
          <w:r>
            <w:rPr>
              <w:sz w:val="18"/>
            </w:rPr>
            <w:t>1F5D29FB-DD58-4ABF-A4E6-ACFE176DA324.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B34365" w:rsidRDefault="00124835">
          <w:pPr>
            <w:jc w:val="right"/>
            <w:rPr>
              <w:sz w:val="18"/>
            </w:rPr>
          </w:pPr>
          <w:r>
            <w:rPr>
              <w:sz w:val="18"/>
            </w:rPr>
            <w:t xml:space="preserve">Strona </w:t>
          </w:r>
          <w:r w:rsidR="00B34365">
            <w:rPr>
              <w:sz w:val="18"/>
            </w:rPr>
            <w:fldChar w:fldCharType="begin"/>
          </w:r>
          <w:r>
            <w:rPr>
              <w:sz w:val="18"/>
            </w:rPr>
            <w:instrText>PAGE</w:instrText>
          </w:r>
          <w:r>
            <w:rPr>
              <w:sz w:val="18"/>
            </w:rPr>
            <w:fldChar w:fldCharType="separate"/>
          </w:r>
          <w:r>
            <w:rPr>
              <w:noProof/>
              <w:sz w:val="18"/>
            </w:rPr>
            <w:t>1</w:t>
          </w:r>
          <w:r w:rsidR="00B34365">
            <w:rPr>
              <w:sz w:val="18"/>
            </w:rPr>
            <w:fldChar w:fldCharType="end"/>
          </w:r>
        </w:p>
      </w:tc>
    </w:tr>
  </w:tbl>
  <w:p w:rsidR="00B34365" w:rsidRDefault="00B34365">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B34365">
      <w:tc>
        <w:tcPr>
          <w:tcW w:w="6577" w:type="dxa"/>
          <w:tcBorders>
            <w:top w:val="single" w:sz="4" w:space="0" w:color="auto"/>
            <w:left w:val="nil"/>
            <w:bottom w:val="nil"/>
            <w:right w:val="nil"/>
          </w:tcBorders>
          <w:tcMar>
            <w:top w:w="100" w:type="dxa"/>
            <w:left w:w="0" w:type="dxa"/>
            <w:bottom w:w="0" w:type="dxa"/>
            <w:right w:w="0" w:type="dxa"/>
          </w:tcMar>
          <w:hideMark/>
        </w:tcPr>
        <w:p w:rsidR="00B34365" w:rsidRDefault="00124835">
          <w:pPr>
            <w:rPr>
              <w:sz w:val="18"/>
            </w:rPr>
          </w:pPr>
          <w:r>
            <w:rPr>
              <w:sz w:val="18"/>
            </w:rPr>
            <w:t>Id: 1F5D29FB-DD58-4ABF-A4E6-ACFE176DA324.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B34365" w:rsidRDefault="00124835">
          <w:pPr>
            <w:jc w:val="right"/>
            <w:rPr>
              <w:sz w:val="18"/>
            </w:rPr>
          </w:pPr>
          <w:r>
            <w:rPr>
              <w:sz w:val="18"/>
            </w:rPr>
            <w:t xml:space="preserve">Strona </w:t>
          </w:r>
          <w:r w:rsidR="00B34365">
            <w:rPr>
              <w:sz w:val="18"/>
            </w:rPr>
            <w:fldChar w:fldCharType="begin"/>
          </w:r>
          <w:r>
            <w:rPr>
              <w:sz w:val="18"/>
            </w:rPr>
            <w:instrText>PAGE</w:instrText>
          </w:r>
          <w:r>
            <w:rPr>
              <w:sz w:val="18"/>
            </w:rPr>
            <w:fldChar w:fldCharType="separate"/>
          </w:r>
          <w:r>
            <w:rPr>
              <w:noProof/>
              <w:sz w:val="18"/>
            </w:rPr>
            <w:t>4</w:t>
          </w:r>
          <w:r w:rsidR="00B34365">
            <w:rPr>
              <w:sz w:val="18"/>
            </w:rPr>
            <w:fldChar w:fldCharType="end"/>
          </w:r>
        </w:p>
      </w:tc>
    </w:tr>
  </w:tbl>
  <w:p w:rsidR="00B34365" w:rsidRDefault="00B34365">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365" w:rsidRDefault="00B34365" w:rsidP="00B34365">
      <w:r>
        <w:separator/>
      </w:r>
    </w:p>
  </w:footnote>
  <w:footnote w:type="continuationSeparator" w:id="0">
    <w:p w:rsidR="00B34365" w:rsidRDefault="00B34365" w:rsidP="00B3436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24835"/>
    <w:rsid w:val="00A77B3E"/>
    <w:rsid w:val="00B34365"/>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34365"/>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9311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VII/63/24 z dnia 30 września 2024 r.</dc:title>
  <dc:subject>w sprawie określenia zasad i^trybu umarzania, odraczania lub rozkładania na raty należności pieniężnych o^charakterze cywilnoprawnym miasta Bytomia oraz jego jednostek organizacyjnych, warunków dopuszczalności pomocy publicznej, w^których ulga będzie stanowić pomoc publiczną oraz wskazania organów uprawnionych do^udzielenia przedmiotowych ulg</dc:subject>
  <dc:creator>asteuer</dc:creator>
  <cp:lastModifiedBy>asteuer</cp:lastModifiedBy>
  <cp:revision>2</cp:revision>
  <dcterms:created xsi:type="dcterms:W3CDTF">2024-10-03T05:46:00Z</dcterms:created>
  <dcterms:modified xsi:type="dcterms:W3CDTF">2024-10-03T05:46:00Z</dcterms:modified>
  <cp:category>Akt prawny</cp:category>
</cp:coreProperties>
</file>