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8C6" w:rsidRPr="00F3299E" w:rsidRDefault="00B138C6" w:rsidP="00B138C6">
      <w:pPr>
        <w:spacing w:after="0" w:line="240" w:lineRule="auto"/>
        <w:jc w:val="center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caps/>
          <w:sz w:val="24"/>
          <w:szCs w:val="20"/>
          <w:lang w:eastAsia="pl-PL" w:bidi="pl-PL"/>
        </w:rPr>
        <w:t>Uzasadnienie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8F2A52">
        <w:rPr>
          <w:rFonts w:ascii="Arial" w:eastAsia="Times New Roman" w:hAnsi="Arial"/>
          <w:sz w:val="24"/>
          <w:szCs w:val="20"/>
          <w:lang w:eastAsia="pl-PL" w:bidi="pl-PL"/>
        </w:rPr>
        <w:t>Miejscowy plan zagospodarowania przestrzennego dla terenu położonego w rejonie ulic: Dworskiej, Strzelców Bytomskich i Stanisława Witczaka w Bytomiu - etap II</w:t>
      </w:r>
      <w:r>
        <w:rPr>
          <w:rFonts w:ascii="Arial" w:eastAsia="Times New Roman" w:hAnsi="Arial"/>
          <w:sz w:val="24"/>
          <w:szCs w:val="20"/>
          <w:lang w:eastAsia="pl-PL" w:bidi="pl-PL"/>
        </w:rPr>
        <w:t>,</w:t>
      </w:r>
      <w:r w:rsidRPr="008F2A52">
        <w:rPr>
          <w:rFonts w:ascii="Arial" w:eastAsia="Times New Roman" w:hAnsi="Arial"/>
          <w:sz w:val="24"/>
          <w:szCs w:val="20"/>
          <w:lang w:eastAsia="pl-PL" w:bidi="pl-PL"/>
        </w:rPr>
        <w:t xml:space="preserve"> opracowany został na podstawie uchwały XXIX/425/20 Rady Miejskiej w Bytomiu z dnia 22 czerwca 2020 r. w sprawie przystąpienia do sporządzenia miejscowego planu zagospodarowania przestrzennego dla terenu położonego w rejonie ulic: Dworskiej, Strzelców Bytomskich i Stanisława Witczaka w Bytomiu i stanowi drugi etap realizacji  przedmiotowej uchwały.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45721F">
        <w:rPr>
          <w:rFonts w:ascii="Arial" w:eastAsia="Times New Roman" w:hAnsi="Arial"/>
          <w:sz w:val="24"/>
          <w:szCs w:val="20"/>
          <w:lang w:eastAsia="pl-PL" w:bidi="pl-PL"/>
        </w:rPr>
        <w:t xml:space="preserve">Obszar będący przedmiotem niniejszej uchwały ograniczony jest: od wschodu – fragmentem ul. Stanisława Witczaka, od północy – granicą administracyjną miasta i fragmentem Autostrady A1, od zachodu – fragmentem ul. Strzelców Bytomskich i od południa ul. Powstańców Śląskich oraz projektowaną obwodnicą śródmiejską (na południe od ul. Odrzańskiej). 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został sporządzony z uwzględnieniem zasad planowania przestrzennego i nie narusza ustaleń „Studium uwarunkowań i kierunków zagospodarowania przestrzennego Gminy Bytom”, przyjętego uchwałą nr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XVI/204/11 Rady Miejskiej w Bytomiu z dnia 24 sierpnia 2011 r., zmienionego uchwałą nr X/120/13 Rady Miejskiej w Bytomiu z dnia 25 lutego 2013 r., 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      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</w:t>
      </w:r>
      <w:r>
        <w:rPr>
          <w:rFonts w:ascii="Arial" w:eastAsia="Times New Roman" w:hAnsi="Arial"/>
          <w:sz w:val="24"/>
          <w:szCs w:val="20"/>
          <w:lang w:eastAsia="pl-PL" w:bidi="pl-PL"/>
        </w:rPr>
        <w:t>,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 uchwałą nr LXXVI/968/23 Rady Miejskiej w Bytomiu z dnia 27 marca 2023 r.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, </w:t>
      </w:r>
      <w:r w:rsidRPr="008559E0">
        <w:rPr>
          <w:rFonts w:ascii="Arial" w:eastAsia="Times New Roman" w:hAnsi="Arial"/>
          <w:sz w:val="24"/>
          <w:szCs w:val="20"/>
          <w:lang w:eastAsia="pl-PL" w:bidi="pl-PL"/>
        </w:rPr>
        <w:t>uchwałą nr LXXX/1008/23 Rady Miejskiej w By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tomiu z dnia 26 czerwca 2023 r. oraz </w:t>
      </w:r>
      <w:r w:rsidRPr="008559E0">
        <w:rPr>
          <w:rFonts w:ascii="Arial" w:eastAsia="Times New Roman" w:hAnsi="Arial"/>
          <w:sz w:val="24"/>
          <w:szCs w:val="20"/>
          <w:lang w:eastAsia="pl-PL" w:bidi="pl-PL"/>
        </w:rPr>
        <w:t>uchwałą nr LXXXVI/1078/23 Rady Miejskiej w Bytomiu z dnia 27 listopada 2023 r.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Procedura formalno-prawna została przeprowadzona w trybie ustawy z dnia 27 marca 2003 r. o planowaniu i zagospodarowaniu przestrzennym (Dz. U. z 2023 r. poz. 977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, z </w:t>
      </w:r>
      <w:proofErr w:type="spellStart"/>
      <w:r>
        <w:rPr>
          <w:rFonts w:ascii="Arial" w:eastAsia="Times New Roman" w:hAnsi="Arial"/>
          <w:sz w:val="24"/>
          <w:szCs w:val="20"/>
          <w:lang w:eastAsia="pl-PL" w:bidi="pl-PL"/>
        </w:rPr>
        <w:t>późn</w:t>
      </w:r>
      <w:proofErr w:type="spellEnd"/>
      <w:r>
        <w:rPr>
          <w:rFonts w:ascii="Arial" w:eastAsia="Times New Roman" w:hAnsi="Arial"/>
          <w:sz w:val="24"/>
          <w:szCs w:val="20"/>
          <w:lang w:eastAsia="pl-PL" w:bidi="pl-PL"/>
        </w:rPr>
        <w:t>. zm.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), w szczególności 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na podstawie art. 17 tej ustawy </w:t>
      </w:r>
      <w:r w:rsidRPr="00F16666">
        <w:rPr>
          <w:rFonts w:ascii="Arial" w:eastAsia="Times New Roman" w:hAnsi="Arial"/>
          <w:sz w:val="24"/>
          <w:szCs w:val="20"/>
          <w:lang w:eastAsia="pl-PL" w:bidi="pl-PL"/>
        </w:rPr>
        <w:t>oraz w związku z art. 67 ust 3 ustawy z dnia 7 lipca 2023 r. o zmianie ustawy o planowaniu i zagospodarowaniu przestrzennym oraz niektórych innych ustaw (Dz. U. z 2023 r. poz. 1688).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I. Sposób realizacji wymogów wynikających z art. 1 ust. 2 - 4 ustawy o planowaniu i zagospodarowaniu przestrzennym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1. Wymagania ładu przestrzennego, w tym urbanistyki i architektury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2. Walory architektoniczne i krajobrazowe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lastRenderedPageBreak/>
        <w:t>3. Wymagania ochrony środowiska, w tym gospodarowania wodami i ochrony gruntów rolnych i leśnych</w:t>
      </w:r>
      <w:r w:rsidRPr="004F3AF4">
        <w:t xml:space="preserve"> </w:t>
      </w:r>
      <w:r w:rsidRPr="00016F05">
        <w:rPr>
          <w:rFonts w:ascii="Arial" w:eastAsia="Times New Roman" w:hAnsi="Arial"/>
          <w:sz w:val="24"/>
          <w:szCs w:val="20"/>
          <w:lang w:eastAsia="pl-PL" w:bidi="pl-PL"/>
        </w:rPr>
        <w:t>oraz ochrony złóż kopalin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miejscowego zawiera ustalenia dotyczące zasad ochrony środowiska, przyrody i krajobrazu kulturowego,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Przedmiotowy projekt planu nie obejmuje gruntów rolnych 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i leśnych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podlegających ochronie, w związku z czym nie jest wymagane ustalenie zasad ich ochrony.</w:t>
      </w:r>
    </w:p>
    <w:p w:rsidR="00B138C6" w:rsidRPr="00E27B82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E27B82">
        <w:rPr>
          <w:rFonts w:ascii="Arial" w:eastAsia="Times New Roman" w:hAnsi="Arial"/>
          <w:sz w:val="24"/>
          <w:szCs w:val="20"/>
          <w:lang w:eastAsia="pl-PL" w:bidi="pl-PL"/>
        </w:rPr>
        <w:t>Na obszarze planu występują udokumentowane złoża kopalin (węgla kamiennego), dla których zasady ochrony określają przepisy ustawy z dnia 9 czerwca 2011 r. - Prawo geologiczne i górnicze.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4. Wymagania ochrony dziedzictwa kulturowego i zabytków oraz dóbr kultury współczesnej</w:t>
      </w:r>
    </w:p>
    <w:p w:rsidR="00B138C6" w:rsidRPr="007B508A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7B508A">
        <w:rPr>
          <w:rFonts w:ascii="Arial" w:eastAsia="Times New Roman" w:hAnsi="Arial"/>
          <w:sz w:val="24"/>
          <w:szCs w:val="20"/>
          <w:lang w:eastAsia="pl-PL" w:bidi="pl-PL"/>
        </w:rPr>
        <w:t>W obszarze objętym projektem planu występują: bu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dynki o wartościach kulturowych, 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>obiekt małej architektury o wartościach kulturowych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oraz 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teren o wartościach kulturowych </w:t>
      </w:r>
      <w:r>
        <w:rPr>
          <w:rFonts w:ascii="Arial" w:eastAsia="Times New Roman" w:hAnsi="Arial"/>
          <w:sz w:val="24"/>
          <w:szCs w:val="20"/>
          <w:lang w:eastAsia="pl-PL" w:bidi="pl-PL"/>
        </w:rPr>
        <w:t>– wpisane do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 Rejestr</w:t>
      </w:r>
      <w:r>
        <w:rPr>
          <w:rFonts w:ascii="Arial" w:eastAsia="Times New Roman" w:hAnsi="Arial"/>
          <w:sz w:val="24"/>
          <w:szCs w:val="20"/>
          <w:lang w:eastAsia="pl-PL" w:bidi="pl-PL"/>
        </w:rPr>
        <w:t>u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 zabytków nieruchomych Województwa Śląskiego.</w:t>
      </w:r>
    </w:p>
    <w:p w:rsidR="00B138C6" w:rsidRPr="007B508A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W obszarze projektu planu znajdują się budynki o wartościach kulturowych ujęte w gminnej ewidencji zabytków, dla których – w celu ich ochrony – określono nakazy, zakazy i dopuszczenia. Ponadto, na terenie tym występują: obiekty małej architektury o wartościach kulturowych </w:t>
      </w:r>
      <w:r>
        <w:rPr>
          <w:rFonts w:ascii="Arial" w:eastAsia="Times New Roman" w:hAnsi="Arial"/>
          <w:sz w:val="24"/>
          <w:szCs w:val="20"/>
          <w:lang w:eastAsia="pl-PL" w:bidi="pl-PL"/>
        </w:rPr>
        <w:t>oraz</w:t>
      </w:r>
      <w:r w:rsidRPr="007B508A">
        <w:t xml:space="preserve"> 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>teren</w:t>
      </w:r>
      <w:r>
        <w:rPr>
          <w:rFonts w:ascii="Arial" w:eastAsia="Times New Roman" w:hAnsi="Arial"/>
          <w:sz w:val="24"/>
          <w:szCs w:val="20"/>
          <w:lang w:eastAsia="pl-PL" w:bidi="pl-PL"/>
        </w:rPr>
        <w:t>y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 cmentarz</w:t>
      </w:r>
      <w:r>
        <w:rPr>
          <w:rFonts w:ascii="Arial" w:eastAsia="Times New Roman" w:hAnsi="Arial"/>
          <w:sz w:val="24"/>
          <w:szCs w:val="20"/>
          <w:lang w:eastAsia="pl-PL" w:bidi="pl-PL"/>
        </w:rPr>
        <w:t>y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 o wartościach kulturowych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- 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>ujęte w gminnej ewidencji zabytków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-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 xml:space="preserve"> dla których plan ustala szczegółowe zasady ochrony.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905698">
        <w:rPr>
          <w:rFonts w:ascii="Arial" w:eastAsia="Times New Roman" w:hAnsi="Arial"/>
          <w:sz w:val="24"/>
          <w:szCs w:val="20"/>
          <w:lang w:eastAsia="pl-PL" w:bidi="pl-PL"/>
        </w:rPr>
        <w:t xml:space="preserve">W obszarze </w:t>
      </w:r>
      <w:r w:rsidRPr="007B508A">
        <w:rPr>
          <w:rFonts w:ascii="Arial" w:eastAsia="Times New Roman" w:hAnsi="Arial"/>
          <w:sz w:val="24"/>
          <w:szCs w:val="20"/>
          <w:lang w:eastAsia="pl-PL" w:bidi="pl-PL"/>
        </w:rPr>
        <w:t>objętym projektem planu</w:t>
      </w:r>
      <w:r w:rsidRPr="00905698">
        <w:rPr>
          <w:rFonts w:ascii="Arial" w:eastAsia="Times New Roman" w:hAnsi="Arial"/>
          <w:sz w:val="24"/>
          <w:szCs w:val="20"/>
          <w:lang w:eastAsia="pl-PL" w:bidi="pl-PL"/>
        </w:rPr>
        <w:t xml:space="preserve"> występuj</w:t>
      </w:r>
      <w:r>
        <w:rPr>
          <w:rFonts w:ascii="Arial" w:eastAsia="Times New Roman" w:hAnsi="Arial"/>
          <w:sz w:val="24"/>
          <w:szCs w:val="20"/>
          <w:lang w:eastAsia="pl-PL" w:bidi="pl-PL"/>
        </w:rPr>
        <w:t>ą</w:t>
      </w:r>
      <w:r w:rsidRPr="00905698">
        <w:rPr>
          <w:rFonts w:ascii="Arial" w:eastAsia="Times New Roman" w:hAnsi="Arial"/>
          <w:sz w:val="24"/>
          <w:szCs w:val="20"/>
          <w:lang w:eastAsia="pl-PL" w:bidi="pl-PL"/>
        </w:rPr>
        <w:t xml:space="preserve"> stanowisk</w:t>
      </w:r>
      <w:r>
        <w:rPr>
          <w:rFonts w:ascii="Arial" w:eastAsia="Times New Roman" w:hAnsi="Arial"/>
          <w:sz w:val="24"/>
          <w:szCs w:val="20"/>
          <w:lang w:eastAsia="pl-PL" w:bidi="pl-PL"/>
        </w:rPr>
        <w:t>a</w:t>
      </w:r>
      <w:r w:rsidRPr="00905698">
        <w:rPr>
          <w:rFonts w:ascii="Arial" w:eastAsia="Times New Roman" w:hAnsi="Arial"/>
          <w:sz w:val="24"/>
          <w:szCs w:val="20"/>
          <w:lang w:eastAsia="pl-PL" w:bidi="pl-PL"/>
        </w:rPr>
        <w:t xml:space="preserve"> archeologiczne, dla któr</w:t>
      </w:r>
      <w:r>
        <w:rPr>
          <w:rFonts w:ascii="Arial" w:eastAsia="Times New Roman" w:hAnsi="Arial"/>
          <w:sz w:val="24"/>
          <w:szCs w:val="20"/>
          <w:lang w:eastAsia="pl-PL" w:bidi="pl-PL"/>
        </w:rPr>
        <w:t>ych</w:t>
      </w:r>
      <w:r w:rsidRPr="00905698">
        <w:rPr>
          <w:rFonts w:ascii="Arial" w:eastAsia="Times New Roman" w:hAnsi="Arial"/>
          <w:sz w:val="24"/>
          <w:szCs w:val="20"/>
          <w:lang w:eastAsia="pl-PL" w:bidi="pl-PL"/>
        </w:rPr>
        <w:t xml:space="preserve"> warunki ochrony określa ustawa z dnia 23 lipca 2003 r. o ochronie zabytków i opiece nad zabytkami.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W obszarze objętym projektem planu nie występują dobra kultury współczesnej, w związku z czym plan nie ustala wymogów ich ochrony.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5. Wymagania ochrony zdrowia oraz bezpieczeństwa ludzi i mienia, a także potrzeby osób ze szczególnymi potrzebami, o których mowa w ustawie z dnia 19 lipca 2019 r. o zapewnianiu dostępności osobom ze szczególnymi potrzebami</w:t>
      </w:r>
      <w:r w:rsidRPr="002368ED">
        <w:t xml:space="preserve"> </w:t>
      </w:r>
      <w:r>
        <w:rPr>
          <w:rFonts w:ascii="Arial" w:eastAsia="Times New Roman" w:hAnsi="Arial"/>
          <w:sz w:val="24"/>
          <w:szCs w:val="20"/>
          <w:lang w:eastAsia="pl-PL" w:bidi="pl-PL"/>
        </w:rPr>
        <w:t>(Dz. U. z 2022 r. poz. 2240)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6. Walory ekonomiczne przestrzeni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lastRenderedPageBreak/>
        <w:t>przestrzeni. W projekcie planu dla wszystkich terenów określono stawkę procentową służącą naliczaniu opłaty z tytułu wzrostu wartości nieruchomości w wysokości 30%.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7. Prawo własności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8. Potrzeby obronności i bezpieczeństwa państwa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>
        <w:rPr>
          <w:rFonts w:ascii="Arial" w:eastAsia="Times New Roman" w:hAnsi="Arial"/>
          <w:sz w:val="24"/>
          <w:szCs w:val="20"/>
          <w:lang w:eastAsia="pl-PL" w:bidi="pl-PL"/>
        </w:rPr>
        <w:t>Wewnątrz o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bszar</w:t>
      </w:r>
      <w:r>
        <w:rPr>
          <w:rFonts w:ascii="Arial" w:eastAsia="Times New Roman" w:hAnsi="Arial"/>
          <w:sz w:val="24"/>
          <w:szCs w:val="20"/>
          <w:lang w:eastAsia="pl-PL" w:bidi="pl-PL"/>
        </w:rPr>
        <w:t>u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 planu 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znajduje się obszar wyłączony należący do Wojska Polskiego. Na jego terenie stacjonuje jednostka wojskowa nr. 3946 której zadania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służą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realizacji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 obronności i bezpieczeństwu państwa. W toku procedury planistycznej stosowne organy wojskowe, ochrony granic i bezpieczeństwa państwa zostały zawiadomione o przystąpieniu do sporządzenia przedmiotowego planu</w:t>
      </w:r>
      <w:r>
        <w:rPr>
          <w:rFonts w:ascii="Arial" w:eastAsia="Times New Roman" w:hAnsi="Arial"/>
          <w:sz w:val="24"/>
          <w:szCs w:val="20"/>
          <w:lang w:eastAsia="pl-PL" w:bidi="pl-PL"/>
        </w:rPr>
        <w:t>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9. Potrzeby interesu publicznego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miejscowego zapewnia możliwość spełniania potrzeb ogółu społeczeństwa, w tym m. in. poprzez realizację inwestycji celu publicznego, takich jak budowa nowych dróg oraz niezbędnej infrastruktury technicznej.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10. Potrzeby w zakresie rozwoju infrastruktury technicznej, w szczególności sieci szerokopasmowych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Projekt planu miejscowego zawiera ustalenia dotyczące zasad modernizacji, rozbudowy i budowy systemów infrastruktury technicznej.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11. Zapewnienie udziału społeczeństwa w pracach nad miejscowym planem zagospodarowania przestrzennego, w tym przy użyciu środków komunikacji elektronicznej</w:t>
      </w:r>
    </w:p>
    <w:p w:rsidR="00B138C6" w:rsidRPr="00F311A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11A6">
        <w:rPr>
          <w:rFonts w:ascii="Arial" w:eastAsia="Times New Roman" w:hAnsi="Arial"/>
          <w:sz w:val="24"/>
          <w:szCs w:val="20"/>
          <w:lang w:eastAsia="pl-PL" w:bidi="pl-PL"/>
        </w:rPr>
        <w:t>Zapewnienie udziału społeczeństwa w pracach nad miejscowym planem zagospodarowania przestrzennego, w tym przy użyciu środków komunikacji elektronicznej, zostało zrealizowane poprzez:</w:t>
      </w:r>
    </w:p>
    <w:p w:rsidR="00B138C6" w:rsidRPr="00F311A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11A6">
        <w:rPr>
          <w:rFonts w:ascii="Arial" w:eastAsia="Times New Roman" w:hAnsi="Arial"/>
          <w:sz w:val="24"/>
          <w:szCs w:val="20"/>
          <w:lang w:eastAsia="pl-PL" w:bidi="pl-PL"/>
        </w:rPr>
        <w:t>1) zamieszczenie ogłoszeń w prasie, na stronie internetowej miasta oraz w Biuletynie Informacji Publicznej i obwieszczenia na tablicy ogłosze</w:t>
      </w:r>
      <w:r>
        <w:rPr>
          <w:rFonts w:ascii="Arial" w:eastAsia="Times New Roman" w:hAnsi="Arial"/>
          <w:sz w:val="24"/>
          <w:szCs w:val="20"/>
          <w:lang w:eastAsia="pl-PL" w:bidi="pl-PL"/>
        </w:rPr>
        <w:t>ń Urzędu Miejskiego w Bytomiu o</w:t>
      </w:r>
      <w:r w:rsidRPr="00F311A6">
        <w:rPr>
          <w:rFonts w:ascii="Arial" w:eastAsia="Times New Roman" w:hAnsi="Arial"/>
          <w:sz w:val="24"/>
          <w:szCs w:val="20"/>
          <w:lang w:eastAsia="pl-PL" w:bidi="pl-PL"/>
        </w:rPr>
        <w:t xml:space="preserve"> przystąpieniu do sporządzenia miejscowego planu zagospodarowania przestrzennego </w:t>
      </w:r>
      <w:r w:rsidRPr="008F2A52">
        <w:rPr>
          <w:rFonts w:ascii="Arial" w:eastAsia="Times New Roman" w:hAnsi="Arial"/>
          <w:sz w:val="24"/>
          <w:szCs w:val="20"/>
          <w:lang w:eastAsia="pl-PL" w:bidi="pl-PL"/>
        </w:rPr>
        <w:t>dla terenu położonego w rejonie ulic: Dworskiej, Strzelców Bytomskich i Stanisława Witczaka w Bytomiu</w:t>
      </w:r>
      <w:r w:rsidRPr="00F311A6">
        <w:rPr>
          <w:rFonts w:ascii="Arial" w:eastAsia="Times New Roman" w:hAnsi="Arial"/>
          <w:sz w:val="24"/>
          <w:szCs w:val="20"/>
          <w:lang w:eastAsia="pl-PL" w:bidi="pl-PL"/>
        </w:rPr>
        <w:t>, możliwości składania wniosków i uwag oraz możliwości zapoznania się z dokumentacją sprawy,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12. Zachowanie jawności i przejrzystości procedur planistycznych</w:t>
      </w:r>
    </w:p>
    <w:p w:rsidR="00B138C6" w:rsidRPr="00F3299E" w:rsidRDefault="00B138C6" w:rsidP="00B138C6">
      <w:pPr>
        <w:spacing w:before="120" w:after="120" w:line="240" w:lineRule="auto"/>
        <w:ind w:left="708" w:hanging="481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13. Potrzeba zapewnienia odpowiedniej ilości i jakości wody, do celów zaopatrzenia ludności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lastRenderedPageBreak/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>
        <w:rPr>
          <w:rFonts w:ascii="Arial" w:eastAsia="Times New Roman" w:hAnsi="Arial"/>
          <w:sz w:val="24"/>
          <w:szCs w:val="20"/>
          <w:lang w:eastAsia="pl-PL" w:bidi="pl-PL"/>
        </w:rPr>
        <w:t>14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. Zachowanie równowagi, przy ustalaniu przeznaczenia terenu lub określaniu potencjalnego sposobu zagospodarowania i korzystania z terenu, między interesem publicznym a interesami prywatnymi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</w:t>
      </w:r>
      <w:r>
        <w:rPr>
          <w:rFonts w:ascii="Arial" w:eastAsia="Times New Roman" w:hAnsi="Arial"/>
          <w:sz w:val="24"/>
          <w:szCs w:val="20"/>
          <w:lang w:eastAsia="pl-PL" w:bidi="pl-PL"/>
        </w:rPr>
        <w:t>5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.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Uwzględnienie wymagań ładu przestrzennego</w:t>
      </w:r>
      <w:r w:rsidRPr="007A29C8">
        <w:rPr>
          <w:rFonts w:ascii="Arial" w:eastAsia="Times New Roman" w:hAnsi="Arial"/>
          <w:sz w:val="24"/>
          <w:szCs w:val="20"/>
          <w:lang w:eastAsia="pl-PL" w:bidi="pl-PL"/>
        </w:rPr>
        <w:t xml:space="preserve">, efektywnego gospodarowania przestrzenią oraz walorów ekonomicznych przestrzeni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w przypadku sytuowania nowej zabudowy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Umożliwiając sytuowanie nowej zabudowy uwzględniono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wymagania ładu przestrzennego,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efektywne gospodarowanie przestrzenią oraz walory ekonomiczne przestrzeni, w szczególności: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1) przeznaczenia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Dopuszczona ustaleniami planu – zgodnie z kierunkami określonymi w „Studium uwarunkowań i kierunków zagospodarowania przestrzennego Gminy Bytom” – nowa zabudowa przyczyni się do bardziej efektywnego wykorzystania terenów.</w:t>
      </w: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Sporządzony projekt planu nie wykazuje niezgodności z wynikami </w:t>
      </w:r>
      <w:r w:rsidRPr="00AA68B1">
        <w:rPr>
          <w:rFonts w:ascii="Arial" w:eastAsia="Times New Roman" w:hAnsi="Arial"/>
          <w:sz w:val="24"/>
          <w:szCs w:val="20"/>
          <w:lang w:eastAsia="pl-PL" w:bidi="pl-PL"/>
        </w:rPr>
        <w:t>opracowanej „Analizy zmian w zagospodarowaniu przestrzennym Gminy Bytom w latach 2018 – 2023”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, przyjętej uchwałą nr </w:t>
      </w:r>
      <w:r w:rsidRPr="00AA68B1">
        <w:rPr>
          <w:rFonts w:ascii="Arial" w:eastAsia="Times New Roman" w:hAnsi="Arial"/>
          <w:sz w:val="24"/>
          <w:szCs w:val="20"/>
          <w:lang w:eastAsia="pl-PL" w:bidi="pl-PL"/>
        </w:rPr>
        <w:t>XCI/1142/24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Rady Miejskiej w Bytomiu z dnia </w:t>
      </w:r>
      <w:r w:rsidRPr="00AA68B1">
        <w:rPr>
          <w:rFonts w:ascii="Arial" w:eastAsia="Times New Roman" w:hAnsi="Arial"/>
          <w:sz w:val="24"/>
          <w:szCs w:val="20"/>
          <w:lang w:eastAsia="pl-PL" w:bidi="pl-PL"/>
        </w:rPr>
        <w:t>15 marca 2024 r.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 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 xml:space="preserve">W ww. analizie wskazano bowiem zarówno na potrzebę sporządzenia miejscowych planów zagospodarowania przestrzennego dla terenów nieobjętych planami miejscowymi jak i na </w:t>
      </w:r>
      <w:r w:rsidRPr="00AA68B1">
        <w:rPr>
          <w:rFonts w:ascii="Arial" w:eastAsia="Times New Roman" w:hAnsi="Arial"/>
          <w:sz w:val="24"/>
          <w:szCs w:val="20"/>
          <w:lang w:eastAsia="pl-PL" w:bidi="pl-PL"/>
        </w:rPr>
        <w:t>zasadność kontynuacji prac nad aktualizacją obowiązujących miejscowych planów zagospodarowania przestrzennego, z uwzględnieniem zachodzących zmian w zagospodarowaniu przestrzennym oraz aktualnych wymogów prawnych, a także obecnych potrzeb rozwoju przestrzennego miasta</w:t>
      </w:r>
      <w:r w:rsidRPr="00F3299E">
        <w:rPr>
          <w:rFonts w:ascii="Arial" w:eastAsia="Times New Roman" w:hAnsi="Arial"/>
          <w:sz w:val="24"/>
          <w:szCs w:val="20"/>
          <w:lang w:eastAsia="pl-PL" w:bidi="pl-PL"/>
        </w:rPr>
        <w:t>. Projekt planu uwzględnia także uniwersalne projektowanie, w tym m. in. określenie liczby miejsc do parkowania dla pojazdów zaopatrzonych w kartę parkingową.</w:t>
      </w: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</w:p>
    <w:p w:rsidR="00B138C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</w:p>
    <w:p w:rsidR="00B138C6" w:rsidRPr="00F3299E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</w:p>
    <w:p w:rsidR="00B138C6" w:rsidRPr="00F311A6" w:rsidRDefault="00B138C6" w:rsidP="00B138C6">
      <w:pPr>
        <w:spacing w:before="120" w:after="120" w:line="240" w:lineRule="auto"/>
        <w:ind w:firstLine="227"/>
        <w:rPr>
          <w:rFonts w:ascii="Arial" w:eastAsia="Times New Roman" w:hAnsi="Arial"/>
          <w:sz w:val="24"/>
          <w:szCs w:val="20"/>
          <w:lang w:eastAsia="pl-PL" w:bidi="pl-PL"/>
        </w:rPr>
      </w:pPr>
      <w:r w:rsidRPr="00F311A6">
        <w:rPr>
          <w:rFonts w:ascii="Arial" w:eastAsia="Times New Roman" w:hAnsi="Arial"/>
          <w:sz w:val="24"/>
          <w:szCs w:val="20"/>
          <w:lang w:eastAsia="pl-PL" w:bidi="pl-PL"/>
        </w:rPr>
        <w:lastRenderedPageBreak/>
        <w:t>III. Wpływ na finanse publiczne, w tym budżet gminy</w:t>
      </w: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  <w:r w:rsidRPr="00E14245">
        <w:rPr>
          <w:rFonts w:ascii="Arial" w:eastAsia="Times New Roman" w:hAnsi="Arial"/>
          <w:sz w:val="24"/>
          <w:szCs w:val="20"/>
          <w:lang w:eastAsia="pl-PL" w:bidi="pl-PL"/>
        </w:rPr>
        <w:t xml:space="preserve">W prognozie skutków finansowych uchwalenia przedmiotowego miejscowego planu zagospodarowania przestrzennego stwierdzono, że wskaźnik ekonomiczny inwestycji, jaką jest uchwalenie miejscowego planu zagospodarowania przestrzennego dla terenu </w:t>
      </w:r>
      <w:r w:rsidRPr="008F2A52">
        <w:rPr>
          <w:rFonts w:ascii="Arial" w:eastAsia="Times New Roman" w:hAnsi="Arial"/>
          <w:sz w:val="24"/>
          <w:szCs w:val="20"/>
          <w:lang w:eastAsia="pl-PL" w:bidi="pl-PL"/>
        </w:rPr>
        <w:t>położonego w rejonie ulic: Dworskiej, Strzelców Bytomskich i Stanisława Witczaka w Bytomiu - etap II</w:t>
      </w:r>
      <w:r w:rsidRPr="00E14245">
        <w:rPr>
          <w:rFonts w:ascii="Arial" w:eastAsia="Times New Roman" w:hAnsi="Arial"/>
          <w:sz w:val="24"/>
          <w:szCs w:val="20"/>
          <w:lang w:eastAsia="pl-PL" w:bidi="pl-PL"/>
        </w:rPr>
        <w:t xml:space="preserve"> jest dodatni. Zmiana przeznaczenia terenu pod zabudowę </w:t>
      </w:r>
      <w:r>
        <w:rPr>
          <w:rFonts w:ascii="Arial" w:eastAsia="Times New Roman" w:hAnsi="Arial"/>
          <w:sz w:val="24"/>
          <w:szCs w:val="20"/>
          <w:lang w:eastAsia="pl-PL" w:bidi="pl-PL"/>
        </w:rPr>
        <w:t xml:space="preserve">usługową oraz przemysłową </w:t>
      </w:r>
      <w:r w:rsidRPr="00E14245">
        <w:rPr>
          <w:rFonts w:ascii="Arial" w:eastAsia="Times New Roman" w:hAnsi="Arial"/>
          <w:sz w:val="24"/>
          <w:szCs w:val="20"/>
          <w:lang w:eastAsia="pl-PL" w:bidi="pl-PL"/>
        </w:rPr>
        <w:t xml:space="preserve">może przynieść skutek w postaci dochodu gminy z pobrania opłaty planistycznej, sprzedaży gruntu jak również opłaty </w:t>
      </w:r>
      <w:proofErr w:type="spellStart"/>
      <w:r w:rsidRPr="00E14245">
        <w:rPr>
          <w:rFonts w:ascii="Arial" w:eastAsia="Times New Roman" w:hAnsi="Arial"/>
          <w:sz w:val="24"/>
          <w:szCs w:val="20"/>
          <w:lang w:eastAsia="pl-PL" w:bidi="pl-PL"/>
        </w:rPr>
        <w:t>adiacenckiej</w:t>
      </w:r>
      <w:proofErr w:type="spellEnd"/>
      <w:r w:rsidRPr="00E14245">
        <w:rPr>
          <w:rFonts w:ascii="Arial" w:eastAsia="Times New Roman" w:hAnsi="Arial"/>
          <w:sz w:val="24"/>
          <w:szCs w:val="20"/>
          <w:lang w:eastAsia="pl-PL" w:bidi="pl-PL"/>
        </w:rPr>
        <w:t>.</w:t>
      </w: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B138C6" w:rsidRPr="0089482D" w:rsidRDefault="00B138C6" w:rsidP="00B138C6">
      <w:pPr>
        <w:keepLines/>
        <w:spacing w:before="120" w:after="120"/>
        <w:ind w:left="113"/>
        <w:rPr>
          <w:rFonts w:ascii="Arial" w:hAnsi="Arial" w:cs="Arial"/>
          <w:sz w:val="20"/>
          <w:szCs w:val="20"/>
          <w:u w:color="000000"/>
        </w:rPr>
      </w:pPr>
    </w:p>
    <w:p w:rsidR="00157AAF" w:rsidRDefault="00B138C6">
      <w:bookmarkStart w:id="0" w:name="_GoBack"/>
      <w:bookmarkEnd w:id="0"/>
    </w:p>
    <w:sectPr w:rsidR="00157AAF" w:rsidSect="00B74924">
      <w:footerReference w:type="default" r:id="rId4"/>
      <w:pgSz w:w="11906" w:h="16838"/>
      <w:pgMar w:top="1134" w:right="1418" w:bottom="107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F72" w:rsidRDefault="00B138C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4A1F72" w:rsidRDefault="00B138C6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80D"/>
    <w:rsid w:val="0028380D"/>
    <w:rsid w:val="004C59F9"/>
    <w:rsid w:val="00801DEA"/>
    <w:rsid w:val="00B1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31FE5-BCCE-42A9-985B-BF6E48F7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38C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138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8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1786</Words>
  <Characters>10722</Characters>
  <Application>Microsoft Office Word</Application>
  <DocSecurity>0</DocSecurity>
  <Lines>89</Lines>
  <Paragraphs>24</Paragraphs>
  <ScaleCrop>false</ScaleCrop>
  <Company/>
  <LinksUpToDate>false</LinksUpToDate>
  <CharactersWithSpaces>12484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Brunon Szymańczyk</dc:creator>
  <cp:keywords/>
  <dc:description/>
  <cp:lastModifiedBy>Brunon Szymańczyk</cp:lastModifiedBy>
  <cp:revision>2</cp:revision>
  <dcterms:created xsi:type="dcterms:W3CDTF">2024-09-25T06:00:00Z</dcterms:created>
  <dcterms:modified xsi:type="dcterms:W3CDTF">2024-09-25T06:00:00Z</dcterms:modified>
</cp:coreProperties>
</file>