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59430F">
      <w:pPr>
        <w:spacing w:line="276" w:lineRule="auto"/>
        <w:jc w:val="center"/>
        <w:rPr>
          <w:b/>
          <w:caps/>
        </w:rPr>
      </w:pPr>
      <w:r>
        <w:rPr>
          <w:b/>
          <w:caps/>
        </w:rPr>
        <w:t>Uchwała Nr VI/62/24</w:t>
      </w:r>
      <w:r>
        <w:rPr>
          <w:b/>
          <w:caps/>
        </w:rPr>
        <w:br/>
        <w:t>Rady Miejskiej w Bytomiu</w:t>
      </w:r>
    </w:p>
    <w:p w:rsidR="00A77B3E" w:rsidRDefault="0059430F">
      <w:pPr>
        <w:spacing w:before="280" w:after="280" w:line="276" w:lineRule="auto"/>
        <w:jc w:val="center"/>
        <w:rPr>
          <w:b/>
          <w:caps/>
        </w:rPr>
      </w:pPr>
      <w:r>
        <w:t>z dnia 16 września 2024 r.</w:t>
      </w:r>
    </w:p>
    <w:p w:rsidR="00A77B3E" w:rsidRDefault="0059430F">
      <w:pPr>
        <w:keepNext/>
        <w:spacing w:after="480" w:line="276" w:lineRule="auto"/>
        <w:jc w:val="center"/>
      </w:pPr>
      <w:r>
        <w:rPr>
          <w:b/>
        </w:rPr>
        <w:t>zmieniająca uchwałę nr LXXXVII/1095/23 Rady Miejskiej w Bytomiu w sprawie wieloletniej prognozy finansowej miasta Bytomia na lata 2024-2046</w:t>
      </w:r>
    </w:p>
    <w:p w:rsidR="00A77B3E" w:rsidRDefault="0059430F">
      <w:pPr>
        <w:keepLines/>
        <w:spacing w:before="120" w:after="120" w:line="276" w:lineRule="auto"/>
        <w:ind w:firstLine="227"/>
      </w:pPr>
      <w:r>
        <w:t xml:space="preserve">Na podstawie art. 18 ust. 2 </w:t>
      </w:r>
      <w:proofErr w:type="spellStart"/>
      <w:r>
        <w:t>pkt</w:t>
      </w:r>
      <w:proofErr w:type="spellEnd"/>
      <w:r>
        <w:t> 15 ustawy z dnia 8 marca 1990 r. o samorządzie gminnym (Dz. U. z 2024 r. poz. 609, z </w:t>
      </w:r>
      <w:proofErr w:type="spellStart"/>
      <w:r>
        <w:t>późn</w:t>
      </w:r>
      <w:proofErr w:type="spellEnd"/>
      <w:r>
        <w:t xml:space="preserve">. zm.), art. 12 </w:t>
      </w:r>
      <w:proofErr w:type="spellStart"/>
      <w:r>
        <w:t>pkt</w:t>
      </w:r>
      <w:proofErr w:type="spellEnd"/>
      <w:r>
        <w:t> 11 w związku z art. 92 ustawy z dnia 5 czerwca 1998 r. o samorządzie powiatowym (Dz. U. z 2024 r. poz. 107) oraz art. 231 ust. 1 i 2 ustawy z dnia 27 sierpnia 2009 r. o finansach publicznych (Dz. U. z 2023 r. poz. 1270, z </w:t>
      </w:r>
      <w:proofErr w:type="spellStart"/>
      <w:r>
        <w:t>późn</w:t>
      </w:r>
      <w:proofErr w:type="spellEnd"/>
      <w:r>
        <w:t>. zm.) uchwala się, co następuje:</w:t>
      </w:r>
    </w:p>
    <w:p w:rsidR="00A77B3E" w:rsidRDefault="0059430F">
      <w:pPr>
        <w:keepLines/>
        <w:spacing w:before="120" w:after="120" w:line="276" w:lineRule="auto"/>
        <w:ind w:firstLine="340"/>
      </w:pPr>
      <w:r>
        <w:rPr>
          <w:b/>
        </w:rPr>
        <w:t>§ 1. </w:t>
      </w:r>
      <w:r>
        <w:t>W uchwale nr LXXXVII/1095/23 Rady Miejskiej w Bytomiu z dnia 18 grudnia 2023 r. w sprawie wieloletniej prognozy finansowej miasta Bytomia na lata 2024-2046, w załączniku nr 2 pn. „Wykaz przedsięwzięć wieloletnich” dodaje się pozycje nr: 1.1.1.18, 1.1.1.19, 1.1.2.10 i 1.1.2.11 – w brzmieniu jak w załączniku do niniejszej uchwały.</w:t>
      </w:r>
    </w:p>
    <w:p w:rsidR="00A77B3E" w:rsidRDefault="0059430F">
      <w:pPr>
        <w:keepLines/>
        <w:spacing w:before="120" w:after="120" w:line="276" w:lineRule="auto"/>
        <w:ind w:firstLine="340"/>
      </w:pPr>
      <w:r>
        <w:rPr>
          <w:b/>
        </w:rPr>
        <w:t>§ 2. </w:t>
      </w:r>
      <w:r>
        <w:t>Wykonanie uchwały powierza się Prezydentowi Miasta.</w:t>
      </w:r>
    </w:p>
    <w:p w:rsidR="00A77B3E" w:rsidRDefault="0059430F">
      <w:pPr>
        <w:keepNext/>
        <w:keepLines/>
        <w:spacing w:before="120" w:after="120" w:line="276" w:lineRule="auto"/>
        <w:ind w:firstLine="340"/>
      </w:pPr>
      <w:r>
        <w:rPr>
          <w:b/>
        </w:rPr>
        <w:t>§ 3. </w:t>
      </w:r>
      <w:r>
        <w:t>Uchwała wchodzi w życie z dniem podjęcia.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1"/>
        <w:gridCol w:w="5041"/>
      </w:tblGrid>
      <w:tr w:rsidR="00026D2E">
        <w:tc>
          <w:tcPr>
            <w:tcW w:w="5040" w:type="dxa"/>
            <w:tcBorders>
              <w:top w:val="nil"/>
              <w:left w:val="nil"/>
              <w:bottom w:val="nil"/>
              <w:right w:val="nil"/>
            </w:tcBorders>
            <w:tcMar>
              <w:top w:w="100" w:type="dxa"/>
            </w:tcMar>
          </w:tcPr>
          <w:p w:rsidR="00A77B3E" w:rsidRDefault="00A77B3E">
            <w:pPr>
              <w:jc w:val="both"/>
            </w:pPr>
          </w:p>
        </w:tc>
        <w:tc>
          <w:tcPr>
            <w:tcW w:w="5040" w:type="dxa"/>
            <w:tcBorders>
              <w:top w:val="nil"/>
              <w:left w:val="nil"/>
              <w:bottom w:val="nil"/>
              <w:right w:val="nil"/>
            </w:tcBorders>
            <w:tcMar>
              <w:top w:w="100" w:type="dxa"/>
            </w:tcMar>
          </w:tcPr>
          <w:p w:rsidR="00A77B3E" w:rsidRDefault="0059430F">
            <w:pPr>
              <w:jc w:val="center"/>
            </w:pPr>
            <w:r>
              <w:t>Przewodniczący Rady Miejskiej</w:t>
            </w:r>
          </w:p>
          <w:p w:rsidR="00026D2E" w:rsidRDefault="00026D2E">
            <w:pPr>
              <w:jc w:val="center"/>
            </w:pPr>
          </w:p>
          <w:p w:rsidR="00026D2E" w:rsidRDefault="0059430F">
            <w:pPr>
              <w:jc w:val="center"/>
            </w:pPr>
            <w:r>
              <w:rPr>
                <w:b/>
              </w:rPr>
              <w:t>Michał Staniszewski</w:t>
            </w:r>
          </w:p>
        </w:tc>
      </w:tr>
    </w:tbl>
    <w:p w:rsidR="00A77B3E" w:rsidRDefault="00A77B3E">
      <w:pPr>
        <w:keepLines/>
        <w:sectPr w:rsidR="00A77B3E">
          <w:footerReference w:type="default" r:id="rId6"/>
          <w:endnotePr>
            <w:numFmt w:val="decimal"/>
          </w:endnotePr>
          <w:pgSz w:w="11906" w:h="16838"/>
          <w:pgMar w:top="1417" w:right="1020" w:bottom="992" w:left="1020" w:header="708" w:footer="708" w:gutter="0"/>
          <w:cols w:space="708"/>
          <w:docGrid w:linePitch="360"/>
        </w:sectPr>
      </w:pPr>
    </w:p>
    <w:p w:rsidR="00A77B3E" w:rsidRDefault="0059430F">
      <w:pPr>
        <w:keepLines/>
        <w:spacing w:before="280" w:after="280" w:line="276" w:lineRule="auto"/>
        <w:ind w:left="4535"/>
        <w:sectPr w:rsidR="00A77B3E">
          <w:footerReference w:type="default" r:id="rId7"/>
          <w:endnotePr>
            <w:numFmt w:val="decimal"/>
          </w:endnotePr>
          <w:pgSz w:w="11906" w:h="16838"/>
          <w:pgMar w:top="1417" w:right="1020" w:bottom="992" w:left="1020" w:header="708" w:footer="708" w:gutter="0"/>
          <w:cols w:space="708"/>
          <w:docGrid w:linePitch="360"/>
        </w:sectPr>
      </w:pPr>
      <w:r>
        <w:lastRenderedPageBreak/>
        <w:t>Załącznik do uchwały Nr VI/62/24</w:t>
      </w:r>
      <w:r>
        <w:br/>
        <w:t>Rady Miejskiej w Bytomiu</w:t>
      </w:r>
      <w:r>
        <w:br/>
        <w:t>z dnia 16 września 2024 r.</w:t>
      </w:r>
      <w:r>
        <w:br/>
      </w:r>
      <w:hyperlink r:id="rId8" w:history="1">
        <w:r>
          <w:rPr>
            <w:rStyle w:val="Hipercze"/>
            <w:color w:val="auto"/>
            <w:u w:val="none"/>
          </w:rPr>
          <w:t>Zalacznik1.pdf</w:t>
        </w:r>
      </w:hyperlink>
    </w:p>
    <w:p w:rsidR="00026D2E" w:rsidRDefault="00026D2E">
      <w:pPr>
        <w:rPr>
          <w:rFonts w:eastAsia="Times New Roman" w:cs="Times New Roman"/>
          <w:szCs w:val="20"/>
        </w:rPr>
      </w:pPr>
    </w:p>
    <w:p w:rsidR="00026D2E" w:rsidRDefault="0059430F">
      <w:pPr>
        <w:jc w:val="center"/>
        <w:rPr>
          <w:rFonts w:eastAsia="Times New Roman" w:cs="Times New Roman"/>
          <w:szCs w:val="20"/>
        </w:rPr>
      </w:pPr>
      <w:r>
        <w:rPr>
          <w:rFonts w:eastAsia="Times New Roman" w:cs="Times New Roman"/>
          <w:caps/>
          <w:szCs w:val="20"/>
        </w:rPr>
        <w:t>Uzasadnienie</w:t>
      </w:r>
    </w:p>
    <w:p w:rsidR="00026D2E" w:rsidRDefault="0059430F">
      <w:pPr>
        <w:spacing w:before="120" w:after="120" w:line="276" w:lineRule="auto"/>
        <w:ind w:firstLine="227"/>
        <w:jc w:val="center"/>
        <w:rPr>
          <w:rFonts w:eastAsia="Times New Roman" w:cs="Times New Roman"/>
          <w:szCs w:val="20"/>
        </w:rPr>
      </w:pPr>
      <w:r>
        <w:rPr>
          <w:rFonts w:eastAsia="Times New Roman" w:cs="Times New Roman"/>
          <w:szCs w:val="20"/>
        </w:rPr>
        <w:t>objaśnienia do zmian w wieloletniej prognozie finansowej</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W związku z wyborem do dofinansowania ze środków Programu Fundusze Europejskie dla Śląskiego na lata 2021-2027 oraz planowanym podpisaniem umów o dofinansowanie projektów grantowych w ramach Działania "Rozwój energetyki rozproszonej opartej o odnawialne źródła" w uchwale nr LXXXVII/1095/23 Rady Miejskiej w Bytomiu z dnia 18 grudnia 2023 r. w sprawie wieloletniej prognozy finansowej miasta Bytomia na lata 2024-2046 w załączniku nr 2 pn. „Wykaz przedsięwzięć wieloletnich”, dodaje się:</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1) w części 1.1.1 wydatki bieżące pozycje:</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 nr 1.1.1.18 pn. "Rozwój energetyki rozproszonej opartej o odnawialne źródła energii na terenie Gminy Bytom";</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 nr 1.1.1.19 pn. "Rozwój energetyki rozproszonej opartej o odnawialne źródła energii na terenie Gminy Bytom i Radzionków";</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2) w części 1.1.2 wydatki majątkowe pozycje: </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 nr 1.1.2.10 pn. "Rozwój energetyki rozproszonej opartej o odnawialne źródła energii na terenie Gminy Bytom";</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 nr 1.1.2.11 pn. "Rozwój energetyki rozproszonej opartej o odnawialne źródła energii na terenie Gminy Bytom i Radzionków".</w:t>
      </w:r>
    </w:p>
    <w:p w:rsidR="00026D2E" w:rsidRDefault="0059430F">
      <w:pPr>
        <w:spacing w:before="120" w:after="120" w:line="276" w:lineRule="auto"/>
        <w:ind w:firstLine="227"/>
        <w:rPr>
          <w:rFonts w:eastAsia="Times New Roman" w:cs="Times New Roman"/>
          <w:szCs w:val="20"/>
        </w:rPr>
      </w:pPr>
      <w:r>
        <w:rPr>
          <w:rFonts w:eastAsia="Times New Roman" w:cs="Times New Roman"/>
          <w:szCs w:val="20"/>
        </w:rPr>
        <w:t>Celem zadań jest poprawa jakości powietrza, w tym ograniczenie emisji dwutlenku węgla oraz pyłu zawieszonego (PM10) poprzez zwiększenie poziomu produkcji energii ze źródeł odnawialnych tj. instalacji fotowoltaicznych, magazynów energii, instalacji pomp ciepła oraz systemów zarządzania energią. Odpowiedzialnym za realizację przedsięwzięć w latach 2024-2026 będzie Wydział Inżynierii Środowiska we współpracy z Wydziałem Komunikacji Medialnej i Promocji, Wydziałem Kadr, Płac i Szkoleń oraz Wydziałem Administracyjnym. Łączne nakłady przedsięwzięć planowanych do realizacji pn. "Rozwój energetyki rozproszonej opartej o odnawialne źródła energii na terenie Gminy Bytom" szacuje się w wysokości 20.521.531 zł, w tym środki Unii Europejskiej w kwocie 18.208.748 zł, budżetu państwa w kwocie 2.052.153 zł oraz wkład własny w wysokości 260.630 zł, natomiast łączne nakłady przedsięwzięć planowanych do realizacji pn. "Rozwój energetyki rozproszonej opartej o odnawialne źródła energii na terenie Gminy Bytom i Radzionków" szacuje się w wysokości 35.641.860 zł, w tym środki Unii Europejskiej w kwocie 31.570.845 zł, budżetu państwa w kwocie 3.552.186 zł oraz wkład własny w wysokości 518.829 zł.</w:t>
      </w:r>
    </w:p>
    <w:sectPr w:rsidR="00026D2E" w:rsidSect="00026D2E">
      <w:footerReference w:type="default" r:id="rId9"/>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D2E" w:rsidRDefault="00026D2E" w:rsidP="00026D2E">
      <w:r>
        <w:separator/>
      </w:r>
    </w:p>
  </w:endnote>
  <w:endnote w:type="continuationSeparator" w:id="0">
    <w:p w:rsidR="00026D2E" w:rsidRDefault="00026D2E" w:rsidP="00026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026D2E">
      <w:tc>
        <w:tcPr>
          <w:tcW w:w="6577" w:type="dxa"/>
          <w:tcBorders>
            <w:top w:val="single" w:sz="2" w:space="0" w:color="auto"/>
            <w:left w:val="nil"/>
            <w:bottom w:val="nil"/>
            <w:right w:val="nil"/>
          </w:tcBorders>
          <w:tcMar>
            <w:top w:w="100" w:type="dxa"/>
          </w:tcMar>
        </w:tcPr>
        <w:p w:rsidR="00026D2E" w:rsidRDefault="0059430F">
          <w:pPr>
            <w:rPr>
              <w:sz w:val="18"/>
            </w:rPr>
          </w:pPr>
          <w:r>
            <w:rPr>
              <w:sz w:val="18"/>
            </w:rPr>
            <w:t>Id: A87EACA7-054A-4805-93E7-D343360D0BE2. Podpisany</w:t>
          </w:r>
        </w:p>
      </w:tc>
      <w:tc>
        <w:tcPr>
          <w:tcW w:w="3289" w:type="dxa"/>
          <w:tcBorders>
            <w:top w:val="single" w:sz="2" w:space="0" w:color="auto"/>
            <w:left w:val="nil"/>
            <w:bottom w:val="nil"/>
            <w:right w:val="nil"/>
          </w:tcBorders>
          <w:tcMar>
            <w:top w:w="100" w:type="dxa"/>
          </w:tcMar>
        </w:tcPr>
        <w:p w:rsidR="00026D2E" w:rsidRDefault="0059430F">
          <w:pPr>
            <w:jc w:val="right"/>
            <w:rPr>
              <w:sz w:val="18"/>
            </w:rPr>
          </w:pPr>
          <w:r>
            <w:rPr>
              <w:sz w:val="18"/>
            </w:rPr>
            <w:t xml:space="preserve">Strona </w:t>
          </w:r>
          <w:r w:rsidR="0023694E">
            <w:rPr>
              <w:sz w:val="18"/>
            </w:rPr>
            <w:fldChar w:fldCharType="begin"/>
          </w:r>
          <w:r>
            <w:rPr>
              <w:sz w:val="18"/>
            </w:rPr>
            <w:instrText>PAGE</w:instrText>
          </w:r>
          <w:r w:rsidR="0023694E">
            <w:rPr>
              <w:sz w:val="18"/>
            </w:rPr>
            <w:fldChar w:fldCharType="separate"/>
          </w:r>
          <w:r w:rsidR="00920AB4">
            <w:rPr>
              <w:noProof/>
              <w:sz w:val="18"/>
            </w:rPr>
            <w:t>1</w:t>
          </w:r>
          <w:r w:rsidR="0023694E">
            <w:rPr>
              <w:sz w:val="18"/>
            </w:rPr>
            <w:fldChar w:fldCharType="end"/>
          </w:r>
        </w:p>
      </w:tc>
    </w:tr>
  </w:tbl>
  <w:p w:rsidR="00026D2E" w:rsidRDefault="00026D2E">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026D2E">
      <w:tc>
        <w:tcPr>
          <w:tcW w:w="6577" w:type="dxa"/>
          <w:tcBorders>
            <w:top w:val="single" w:sz="2" w:space="0" w:color="auto"/>
            <w:left w:val="nil"/>
            <w:bottom w:val="nil"/>
            <w:right w:val="nil"/>
          </w:tcBorders>
          <w:tcMar>
            <w:top w:w="100" w:type="dxa"/>
          </w:tcMar>
        </w:tcPr>
        <w:p w:rsidR="00026D2E" w:rsidRDefault="0059430F">
          <w:pPr>
            <w:rPr>
              <w:sz w:val="18"/>
            </w:rPr>
          </w:pPr>
          <w:r>
            <w:rPr>
              <w:sz w:val="18"/>
            </w:rPr>
            <w:t>Id: A87EACA7-054A-4805-93E7-D343360D0BE2. Podpisany</w:t>
          </w:r>
        </w:p>
      </w:tc>
      <w:tc>
        <w:tcPr>
          <w:tcW w:w="3289" w:type="dxa"/>
          <w:tcBorders>
            <w:top w:val="single" w:sz="2" w:space="0" w:color="auto"/>
            <w:left w:val="nil"/>
            <w:bottom w:val="nil"/>
            <w:right w:val="nil"/>
          </w:tcBorders>
          <w:tcMar>
            <w:top w:w="100" w:type="dxa"/>
          </w:tcMar>
        </w:tcPr>
        <w:p w:rsidR="00026D2E" w:rsidRDefault="0059430F">
          <w:pPr>
            <w:jc w:val="right"/>
            <w:rPr>
              <w:sz w:val="18"/>
            </w:rPr>
          </w:pPr>
          <w:r>
            <w:rPr>
              <w:sz w:val="18"/>
            </w:rPr>
            <w:t xml:space="preserve">Strona </w:t>
          </w:r>
          <w:r w:rsidR="0023694E">
            <w:rPr>
              <w:sz w:val="18"/>
            </w:rPr>
            <w:fldChar w:fldCharType="begin"/>
          </w:r>
          <w:r>
            <w:rPr>
              <w:sz w:val="18"/>
            </w:rPr>
            <w:instrText>PAGE</w:instrText>
          </w:r>
          <w:r w:rsidR="0023694E">
            <w:rPr>
              <w:sz w:val="18"/>
            </w:rPr>
            <w:fldChar w:fldCharType="separate"/>
          </w:r>
          <w:r w:rsidR="00920AB4">
            <w:rPr>
              <w:noProof/>
              <w:sz w:val="18"/>
            </w:rPr>
            <w:t>2</w:t>
          </w:r>
          <w:r w:rsidR="0023694E">
            <w:rPr>
              <w:sz w:val="18"/>
            </w:rPr>
            <w:fldChar w:fldCharType="end"/>
          </w:r>
        </w:p>
      </w:tc>
    </w:tr>
  </w:tbl>
  <w:p w:rsidR="00026D2E" w:rsidRDefault="00026D2E">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026D2E">
      <w:tc>
        <w:tcPr>
          <w:tcW w:w="6577" w:type="dxa"/>
          <w:tcBorders>
            <w:top w:val="single" w:sz="2" w:space="0" w:color="auto"/>
            <w:left w:val="nil"/>
            <w:bottom w:val="nil"/>
            <w:right w:val="nil"/>
          </w:tcBorders>
          <w:tcMar>
            <w:top w:w="100" w:type="dxa"/>
          </w:tcMar>
        </w:tcPr>
        <w:p w:rsidR="00026D2E" w:rsidRDefault="0059430F">
          <w:pPr>
            <w:rPr>
              <w:sz w:val="18"/>
            </w:rPr>
          </w:pPr>
          <w:r>
            <w:rPr>
              <w:sz w:val="18"/>
            </w:rPr>
            <w:t>Id: A87EACA7-054A-4805-93E7-D343360D0BE2. Podpisany</w:t>
          </w:r>
        </w:p>
      </w:tc>
      <w:tc>
        <w:tcPr>
          <w:tcW w:w="3289" w:type="dxa"/>
          <w:tcBorders>
            <w:top w:val="single" w:sz="2" w:space="0" w:color="auto"/>
            <w:left w:val="nil"/>
            <w:bottom w:val="nil"/>
            <w:right w:val="nil"/>
          </w:tcBorders>
          <w:tcMar>
            <w:top w:w="100" w:type="dxa"/>
          </w:tcMar>
        </w:tcPr>
        <w:p w:rsidR="00026D2E" w:rsidRDefault="0059430F">
          <w:pPr>
            <w:jc w:val="right"/>
            <w:rPr>
              <w:sz w:val="18"/>
            </w:rPr>
          </w:pPr>
          <w:r>
            <w:rPr>
              <w:sz w:val="18"/>
            </w:rPr>
            <w:t xml:space="preserve">Strona </w:t>
          </w:r>
          <w:r w:rsidR="0023694E">
            <w:rPr>
              <w:sz w:val="18"/>
            </w:rPr>
            <w:fldChar w:fldCharType="begin"/>
          </w:r>
          <w:r>
            <w:rPr>
              <w:sz w:val="18"/>
            </w:rPr>
            <w:instrText>PAGE</w:instrText>
          </w:r>
          <w:r w:rsidR="0023694E">
            <w:rPr>
              <w:sz w:val="18"/>
            </w:rPr>
            <w:fldChar w:fldCharType="separate"/>
          </w:r>
          <w:r w:rsidR="00920AB4">
            <w:rPr>
              <w:noProof/>
              <w:sz w:val="18"/>
            </w:rPr>
            <w:t>3</w:t>
          </w:r>
          <w:r w:rsidR="0023694E">
            <w:rPr>
              <w:sz w:val="18"/>
            </w:rPr>
            <w:fldChar w:fldCharType="end"/>
          </w:r>
        </w:p>
      </w:tc>
    </w:tr>
  </w:tbl>
  <w:p w:rsidR="00026D2E" w:rsidRDefault="00026D2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D2E" w:rsidRDefault="00026D2E" w:rsidP="00026D2E">
      <w:r>
        <w:separator/>
      </w:r>
    </w:p>
  </w:footnote>
  <w:footnote w:type="continuationSeparator" w:id="0">
    <w:p w:rsidR="00026D2E" w:rsidRDefault="00026D2E" w:rsidP="00026D2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26D2E"/>
    <w:rsid w:val="0023694E"/>
    <w:rsid w:val="0059430F"/>
    <w:rsid w:val="00920AB4"/>
    <w:rsid w:val="00A77B3E"/>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26D2E"/>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file:///C:\Users\asteuer\AppData\Local\Temp\Legislator\A7A7C71B-487C-4278-AFCB-DC59BB1287E6\Zalacznik1.pdf" TargetMode="Externa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523</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VI/62/24 z dnia 16 września 2024 r.</dc:title>
  <dc:subject>zmieniająca uchwałę nr LXXXVII/1095/23 Rady Miejskiej w^Bytomiu w^sprawie wieloletniej prognozy finansowej miasta Bytomia na lata 2024-2046</dc:subject>
  <dc:creator>asteuer</dc:creator>
  <cp:lastModifiedBy>asteuer</cp:lastModifiedBy>
  <cp:revision>2</cp:revision>
  <dcterms:created xsi:type="dcterms:W3CDTF">2024-09-16T10:28:00Z</dcterms:created>
  <dcterms:modified xsi:type="dcterms:W3CDTF">2024-09-16T10:28:00Z</dcterms:modified>
  <cp:category>Akt prawny</cp:category>
</cp:coreProperties>
</file>