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CB1C4E">
        <w:rPr>
          <w:rFonts w:ascii="Arial" w:hAnsi="Arial" w:cs="Arial"/>
          <w:b w:val="0"/>
          <w:color w:val="auto"/>
          <w:sz w:val="22"/>
          <w:szCs w:val="22"/>
        </w:rPr>
        <w:t>4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D02847">
        <w:rPr>
          <w:rFonts w:ascii="Arial" w:hAnsi="Arial" w:cs="Arial"/>
          <w:b w:val="0"/>
          <w:color w:val="auto"/>
          <w:sz w:val="22"/>
          <w:szCs w:val="22"/>
        </w:rPr>
        <w:t>4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985DB7">
        <w:rPr>
          <w:rFonts w:ascii="Arial" w:hAnsi="Arial" w:cs="Arial"/>
          <w:bCs w:val="0"/>
          <w:color w:val="auto"/>
          <w:sz w:val="24"/>
          <w:szCs w:val="24"/>
        </w:rPr>
        <w:t xml:space="preserve">Witold </w:t>
      </w:r>
      <w:proofErr w:type="spellStart"/>
      <w:r w:rsidR="00985DB7">
        <w:rPr>
          <w:rFonts w:ascii="Arial" w:hAnsi="Arial" w:cs="Arial"/>
          <w:bCs w:val="0"/>
          <w:color w:val="auto"/>
          <w:sz w:val="24"/>
          <w:szCs w:val="24"/>
        </w:rPr>
        <w:t>Kr</w:t>
      </w:r>
      <w:r w:rsidR="00D02847">
        <w:rPr>
          <w:rFonts w:ascii="Arial" w:hAnsi="Arial" w:cs="Arial"/>
          <w:bCs w:val="0"/>
          <w:color w:val="auto"/>
          <w:sz w:val="24"/>
          <w:szCs w:val="24"/>
        </w:rPr>
        <w:t>i</w:t>
      </w:r>
      <w:r w:rsidR="00985DB7">
        <w:rPr>
          <w:rFonts w:ascii="Arial" w:hAnsi="Arial" w:cs="Arial"/>
          <w:bCs w:val="0"/>
          <w:color w:val="auto"/>
          <w:sz w:val="24"/>
          <w:szCs w:val="24"/>
        </w:rPr>
        <w:t>e</w:t>
      </w:r>
      <w:r w:rsidR="00D02847">
        <w:rPr>
          <w:rFonts w:ascii="Arial" w:hAnsi="Arial" w:cs="Arial"/>
          <w:bCs w:val="0"/>
          <w:color w:val="auto"/>
          <w:sz w:val="24"/>
          <w:szCs w:val="24"/>
        </w:rPr>
        <w:t>ser</w:t>
      </w:r>
      <w:proofErr w:type="spellEnd"/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CB1C4E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CB1C4E">
        <w:rPr>
          <w:rFonts w:ascii="Arial" w:hAnsi="Arial" w:cs="Arial"/>
        </w:rPr>
        <w:t>96</w:t>
      </w:r>
      <w:r w:rsidR="009A76E8">
        <w:rPr>
          <w:rFonts w:ascii="Arial" w:hAnsi="Arial" w:cs="Arial"/>
        </w:rPr>
        <w:t>.202</w:t>
      </w:r>
      <w:r w:rsidR="00D02847">
        <w:rPr>
          <w:rFonts w:ascii="Arial" w:hAnsi="Arial" w:cs="Arial"/>
        </w:rPr>
        <w:t>4</w:t>
      </w:r>
      <w:r w:rsidR="005123D3">
        <w:rPr>
          <w:rFonts w:ascii="Arial" w:hAnsi="Arial" w:cs="Arial"/>
        </w:rPr>
        <w:t xml:space="preserve"> z dnia </w:t>
      </w:r>
      <w:r w:rsidR="00CB1C4E">
        <w:rPr>
          <w:rFonts w:ascii="Arial" w:hAnsi="Arial" w:cs="Arial"/>
        </w:rPr>
        <w:t>16 sierpnia</w:t>
      </w:r>
      <w:r w:rsidR="00D02847">
        <w:rPr>
          <w:rFonts w:ascii="Arial" w:hAnsi="Arial" w:cs="Arial"/>
        </w:rPr>
        <w:t xml:space="preserve">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CB1C4E">
        <w:rPr>
          <w:rFonts w:ascii="Arial" w:hAnsi="Arial" w:cs="Arial"/>
        </w:rPr>
        <w:t>sprzedaży nieruchomości przy ulicy Strażackiej 3 w Bytomiu (dawna siedziba Państwowej Straży Pożarnej)</w:t>
      </w:r>
      <w:r w:rsidR="006F6688">
        <w:rPr>
          <w:rFonts w:ascii="Arial" w:hAnsi="Arial" w:cs="Arial"/>
        </w:rPr>
        <w:t xml:space="preserve"> </w:t>
      </w:r>
      <w:r w:rsidR="00CB1C4E">
        <w:rPr>
          <w:rFonts w:ascii="Arial" w:hAnsi="Arial" w:cs="Arial"/>
        </w:rPr>
        <w:t>informuję</w:t>
      </w:r>
      <w:r w:rsidR="006F6688">
        <w:rPr>
          <w:rFonts w:ascii="Arial" w:hAnsi="Arial" w:cs="Arial"/>
        </w:rPr>
        <w:t xml:space="preserve">, że </w:t>
      </w:r>
      <w:r w:rsidR="00CB1C4E">
        <w:rPr>
          <w:rFonts w:ascii="Arial" w:hAnsi="Arial" w:cs="Arial"/>
        </w:rPr>
        <w:t xml:space="preserve">w toku procesu sprzedaży tejże nieruchomości przez Gminę Bytom dotychczas zostało przeprowadzonych 5 przetargów. </w:t>
      </w:r>
    </w:p>
    <w:p w:rsidR="004F2679" w:rsidRDefault="00CB1C4E" w:rsidP="00CB1C4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wyjaśniam, że w miesiącu wrześniu br. rozstanie ogłoszony kolejny przetarg, a z uwagi na stan techniczny nieruchomości oraz wysokość nakładów koniecznych do przystosowania obiektu do nowych funkcji obecnie nie jest planowane zagospodarowanie przedmiotowej nieruchomości bezpośrednio przez gminę lub jej jednostki.  </w:t>
      </w: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705D5D" w:rsidRDefault="00705D5D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705D5D" w:rsidRDefault="00705D5D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705D5D" w:rsidRDefault="00705D5D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705D5D" w:rsidRDefault="00705D5D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705D5D" w:rsidRPr="004F2679" w:rsidRDefault="00705D5D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2</cp:revision>
  <cp:lastPrinted>2024-09-01T13:05:00Z</cp:lastPrinted>
  <dcterms:created xsi:type="dcterms:W3CDTF">2024-09-01T13:06:00Z</dcterms:created>
  <dcterms:modified xsi:type="dcterms:W3CDTF">2024-09-01T13:06:00Z</dcterms:modified>
</cp:coreProperties>
</file>