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V/59/24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XVI/235/11 Rady Miejskiej w Bytomiu w sprawie ustalenia zasad gospodarowania zasobem nieruchomości gminy Bytom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późn.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1145)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XVI/235/11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zasad gospodarowania zasobem nieruchomości gminy Bytom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4934)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Ograniczenie,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dotyczy nieruchomości będących przedmiotem umów dzierżawy zawartych na czas określony, na okres co najmniej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 lub na czas nieoznaczony. Zgodę na zabudowanie takich nieruchomości obiektami budowlanymi trwale związanymi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gruntem może wydać Prezydent Miasta.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życie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w niniejszej uchwale zmiany w uchwale nr XVI/235/11 Rady Miejskiej w Bytomiu z dnia 28 września 2011 r. w sprawie ustalenia zasad gospodarowania zasobem nieruchomości gminy Bytom wynikają z konieczności umożliwienia dzierżawcom nieruchomości gminnych (którzy posiadają umowy dzierżawy zawarte na czas nieoznaczony) zabudowy tychże nieruchomości obiektami trwale związanymi z gruntem, co niejednokrotnie jest również warunkiem uzyskania dofinansowania inwestycji ze środków Unii Europejskiej.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624F29D7-942F-4BA3-843D-496CEDF329D7.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624F29D7-942F-4BA3-843D-496CEDF329D7.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V/59/24 z dnia 26 sierpnia 2024 r.</dc:title>
  <dc:subject>zmieniająca uchwałę nr XVI/235/11 Rady Miejskiej w^Bytomiu w^sprawie ustalenia zasad gospodarowania zasobem nieruchomości gminy Bytom</dc:subject>
  <dc:creator>masocha</dc:creator>
  <cp:lastModifiedBy>masocha</cp:lastModifiedBy>
  <cp:revision>1</cp:revision>
  <dcterms:created xsi:type="dcterms:W3CDTF">2024-08-27T08:24:14Z</dcterms:created>
  <dcterms:modified xsi:type="dcterms:W3CDTF">2024-08-27T08:24:14Z</dcterms:modified>
  <cp:category>Akt prawny</cp:category>
</cp:coreProperties>
</file>