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V/58/24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sierpnia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stawki procentowej bonifikaty przy sprzedaży przez Gminę Bytom prawa użytkowania wieczystego nieruchomości na cele działalności sakralnej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1b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1145) uchwala się, co następuje: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Prezydent Miasta może udzielić bonifikaty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90% od ceny sprzedaży prawa użytkowania wieczystego działki gruntu nr 134/12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powierzchni 1017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(obręb Miechowice, karta mapy 8), objętej obecnie księgą wieczystą KA1Y/00070799/1 Sądu Rejonowego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Zbycie prawa użytkowania wieczystego nieruchomości,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nastąpi na rzecz rzymskokatolickiej parafii pw. św. Barbary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siedzibą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Zabrzu (41-808) przy ulicy Pod Borem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(NIP 6482769824),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cele działalności sakralnej.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Warunkiem udzielenia bonifikaty,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jest jednorazowa wpłata przez nabywcę, przed zawarciem umowy sprzedaży, całej ceny sprzedaży pomniejszonej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kwotę bonifikaty.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życie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podjęcia.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Nieruchomość położona w Bytomiu w rejonie ulicy Pod Borem w Zabrzu, szczegółowo opisana w § 1 uchwały, stanowi wraz z inną nieruchomością położoną na terenie miasta Zabrza jedną zorganizowaną całość gospodarczą użytkowaną przez parafię pw. św. Barbary w Zabrzu. Nieruchomość ta pierwotnie została nabyta w 2022 r. przez Gminę Bytom w drodze umowy darowizny od Spółki Restrukturyzacji Kopalń S.A. z siedzibą w Bytomiu. Jednym z warunków tej umowy darowizny było przeprowadzenie przez Gminę Bytom geodezyjnego podziału nabytych nieruchomości w celu wydzielenia terenu użytkowanego przez Parafię oraz ustalenie docelowego tytułu prawnego umożliwiającego korzystanie przez nią z wydzielonej nieruchomości.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Niniejsza uchwała stanowi jeden z elementów realizacji zobowiązania Gminy Bytom, o którym mowa powyżej, a na nieruchomości stanowiącej jej przedmiot usytuowany jest drewniany krzyż parafialny oraz jedyna droga dojazdu i dojścia od drogi publicznej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ulicy Pod Borem w Zabrzu do obiektów Parafii. 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548C7466-B14E-43E7-A7C6-6C7558A37B13.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548C7466-B14E-43E7-A7C6-6C7558A37B13.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V/58/24 z dnia 26 sierpnia 2024 r.</dc:title>
  <dc:subject>w sprawie ustalenia wysokości stawki procentowej bonifikaty przy sprzedaży przez Gminę Bytom prawa użytkowania wieczystego nieruchomości na cele działalności^sakralnej</dc:subject>
  <dc:creator>masocha</dc:creator>
  <cp:lastModifiedBy>masocha</cp:lastModifiedBy>
  <cp:revision>1</cp:revision>
  <dcterms:created xsi:type="dcterms:W3CDTF">2024-08-27T08:24:37Z</dcterms:created>
  <dcterms:modified xsi:type="dcterms:W3CDTF">2024-08-27T08:24:37Z</dcterms:modified>
  <cp:category>Akt prawny</cp:category>
</cp:coreProperties>
</file>