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XXVIII/444/04 Rady Miejskiej w Bytomiu w sprawie sprawienia pogrzebu przez Gminę Bytom oraz ustalania zasad zwrotu wydatków na pokrycie kosztów pogrzebu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XXVIII/444/04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sprawienia pogrzebu przez Gminę Bytom oraz ustalania zasad zwrotu wydatków na pokrycie kosztów pogrzebu.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Uchylenie uchwały nr XXVIII/444/04 Rady Miejskiej w Bytomiu z dnia 28 lipca 2004 roku w sprawie  sprawienia pogrzebu przez Gminę Bytom oraz ustal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>nia zasad zwrotu wydatków na pokrycie kosztów pogrzebu, jest konsekwencją niewłaściwego jej zakwalifikowania w kategorii aktu prawa miejscowego, uzależnione</w:t>
      </w:r>
      <w:r>
        <w:rPr>
          <w:rFonts w:eastAsia="Times New Roman" w:cs="Times New Roman"/>
          <w:szCs w:val="20"/>
        </w:rPr>
        <w:t>go</w:t>
      </w:r>
      <w:r>
        <w:rPr>
          <w:rFonts w:eastAsia="Times New Roman" w:cs="Times New Roman"/>
          <w:szCs w:val="20"/>
        </w:rPr>
        <w:t xml:space="preserve"> od publikacji w </w:t>
      </w:r>
      <w:r>
        <w:rPr>
          <w:rFonts w:eastAsia="Times New Roman" w:cs="Times New Roman"/>
          <w:szCs w:val="20"/>
        </w:rPr>
        <w:t>D</w:t>
      </w:r>
      <w:r>
        <w:rPr>
          <w:rFonts w:eastAsia="Times New Roman" w:cs="Times New Roman"/>
          <w:szCs w:val="20"/>
        </w:rPr>
        <w:t xml:space="preserve">zienniku </w:t>
      </w:r>
      <w:r>
        <w:rPr>
          <w:rFonts w:eastAsia="Times New Roman" w:cs="Times New Roman"/>
          <w:szCs w:val="20"/>
        </w:rPr>
        <w:t>U</w:t>
      </w:r>
      <w:r>
        <w:rPr>
          <w:rFonts w:eastAsia="Times New Roman" w:cs="Times New Roman"/>
          <w:szCs w:val="20"/>
        </w:rPr>
        <w:t>rzędowym</w:t>
      </w:r>
      <w:r>
        <w:rPr>
          <w:rFonts w:eastAsia="Times New Roman" w:cs="Times New Roman"/>
          <w:szCs w:val="20"/>
        </w:rPr>
        <w:t xml:space="preserve">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Uchylana</w:t>
      </w:r>
      <w:r>
        <w:rPr>
          <w:rFonts w:eastAsia="Times New Roman" w:cs="Times New Roman"/>
          <w:szCs w:val="20"/>
        </w:rPr>
        <w:t xml:space="preserve"> uchwała nie zawiera w swej treśc</w:t>
      </w:r>
      <w:r>
        <w:rPr>
          <w:rFonts w:eastAsia="Times New Roman" w:cs="Times New Roman"/>
          <w:szCs w:val="20"/>
        </w:rPr>
        <w:t xml:space="preserve">i </w:t>
      </w:r>
      <w:r>
        <w:rPr>
          <w:rFonts w:eastAsia="Times New Roman" w:cs="Times New Roman"/>
          <w:szCs w:val="20"/>
        </w:rPr>
        <w:t>norm generalnych i abstrakcyjnyc</w:t>
      </w:r>
      <w:r>
        <w:rPr>
          <w:rFonts w:eastAsia="Times New Roman" w:cs="Times New Roman"/>
          <w:szCs w:val="20"/>
        </w:rPr>
        <w:t>h,</w:t>
      </w:r>
      <w:r>
        <w:rPr>
          <w:rFonts w:eastAsia="Times New Roman" w:cs="Times New Roman"/>
          <w:szCs w:val="20"/>
        </w:rPr>
        <w:t xml:space="preserve"> dotyczących praw lub obowiązków mieszkańców gminy Bytom</w:t>
      </w:r>
      <w:r>
        <w:rPr>
          <w:rFonts w:eastAsia="Times New Roman" w:cs="Times New Roman"/>
          <w:szCs w:val="20"/>
        </w:rPr>
        <w:t xml:space="preserve">, a tym samym nie jest aktem prawa miejscowego.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 xml:space="preserve">rojekt uchwały </w:t>
      </w:r>
      <w:r>
        <w:rPr>
          <w:rFonts w:eastAsia="Times New Roman" w:cs="Times New Roman"/>
          <w:szCs w:val="20"/>
        </w:rPr>
        <w:t xml:space="preserve">uchylającej ww. uchwałę </w:t>
      </w:r>
      <w:r>
        <w:rPr>
          <w:rFonts w:eastAsia="Times New Roman" w:cs="Times New Roman"/>
          <w:szCs w:val="20"/>
        </w:rPr>
        <w:t>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243F9109-372A-458D-9EA3-302F4797D3FF.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243F9109-372A-458D-9EA3-302F4797D3FF.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uchylająca uchwałę nr XXVIII/444/04 Rady Miejskiej w^Bytomiu w^sprawie sprawienia pogrzebu przez Gminę Bytom oraz ustalania zasad zwrotu wydatków na pokrycie kosztów pogrzebu</dc:subject>
  <dc:creator>bwasicka</dc:creator>
  <cp:lastModifiedBy>bwasicka</cp:lastModifiedBy>
  <cp:revision>1</cp:revision>
  <dcterms:created xsi:type="dcterms:W3CDTF">2024-07-19T09:20:23Z</dcterms:created>
  <dcterms:modified xsi:type="dcterms:W3CDTF">2024-07-19T09:20:23Z</dcterms:modified>
  <cp:category>Akt prawny</cp:category>
</cp:coreProperties>
</file>