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C090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IV/36/24</w:t>
      </w:r>
      <w:r>
        <w:rPr>
          <w:b/>
          <w:caps/>
        </w:rPr>
        <w:br/>
        <w:t>Rady Miejskiej w Bytomiu</w:t>
      </w:r>
    </w:p>
    <w:p w:rsidR="00A77B3E" w:rsidRDefault="003C090F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3C090F">
      <w:pPr>
        <w:keepNext/>
        <w:spacing w:after="480" w:line="276" w:lineRule="auto"/>
        <w:jc w:val="center"/>
      </w:pPr>
      <w:r>
        <w:rPr>
          <w:b/>
        </w:rPr>
        <w:t>zmieniająca uchwałę nr LXXXVII/1095/23 Rady Miejskiej w Bytomiu w sprawie wieloletniej prognozy finansowej miasta Bytomia na lata 2024-2046</w:t>
      </w:r>
    </w:p>
    <w:p w:rsidR="00A77B3E" w:rsidRDefault="003C090F">
      <w:pPr>
        <w:keepLines/>
        <w:spacing w:before="120" w:after="120" w:line="276" w:lineRule="auto"/>
        <w:ind w:firstLine="227"/>
      </w:pPr>
      <w:r>
        <w:t xml:space="preserve">Na podstawie art. 18 ust. 2 </w:t>
      </w:r>
      <w:proofErr w:type="spellStart"/>
      <w:r>
        <w:t>pkt</w:t>
      </w:r>
      <w:proofErr w:type="spellEnd"/>
      <w:r>
        <w:t> 15 ustawy z dnia 8 marca 1990 r. o samorządzie gminnym (Dz. U. z 2024 r. poz. 609, z </w:t>
      </w:r>
      <w:proofErr w:type="spellStart"/>
      <w:r>
        <w:t>późn</w:t>
      </w:r>
      <w:proofErr w:type="spellEnd"/>
      <w:r>
        <w:t xml:space="preserve">. zm.), art. 12 </w:t>
      </w:r>
      <w:proofErr w:type="spellStart"/>
      <w:r>
        <w:t>pkt</w:t>
      </w:r>
      <w:proofErr w:type="spellEnd"/>
      <w:r>
        <w:t> 11 w związku z art. 92 ustawy z dnia 5 czerwca 1998 r. o samorządzie powiatowym (Dz. U. z 2024 r. poz. 107) oraz art. 231 ust. 1 i 2 ustawy z dnia 27 sierpnia 2009 r. o finansach publicznych (Dz. U. z 2023 r. poz. 1270,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3C090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LXXXVII/1095/23 Rady Miejskiej w Bytomiu z dnia 18 grudnia 2023 r. w sprawie wieloletniej prognozy finansowej miasta Bytomia na lata 2024-2046:</w:t>
      </w:r>
    </w:p>
    <w:p w:rsidR="00A77B3E" w:rsidRDefault="003C090F">
      <w:pPr>
        <w:spacing w:before="120" w:after="120" w:line="276" w:lineRule="auto"/>
        <w:ind w:left="340" w:hanging="227"/>
      </w:pPr>
      <w:r>
        <w:t xml:space="preserve">1) w § 1 </w:t>
      </w:r>
      <w:proofErr w:type="spellStart"/>
      <w:r>
        <w:t>pkt</w:t>
      </w:r>
      <w:proofErr w:type="spellEnd"/>
      <w:r>
        <w:t> 4 otrzymuje brzmienie: "4) przeznaczenie nadwyżki albo sposób sfinansowania deficytu;",</w:t>
      </w:r>
    </w:p>
    <w:p w:rsidR="00A77B3E" w:rsidRDefault="003C090F">
      <w:pPr>
        <w:spacing w:before="120" w:after="120" w:line="276" w:lineRule="auto"/>
        <w:ind w:left="340" w:hanging="227"/>
      </w:pPr>
      <w:r>
        <w:t>2) w załączniku nr 2 pn. „Wykaz przedsięwzięć wieloletnich” dodaje się pozycje nr: 1.1.1.11 – 1.1.1.15 oraz zmienia się pozycje nr: 1.1.1.2, 1.1.1.3, 1.1.1.5, 1.1.1.6, 1.1.1.7, 1.1.1.8, 1.1.1.10, 1.1.2.2, 1.3.1.18, 1.3.2.2, 1.3.2.12, 1.3.2.14, 1.3.2.22, 1.3.2.28, 1.3.2.31, 1.3.2.32, 1.3.2.42, 1.3.2.45 i 1.3.2.46 – w brzmieniu jak w załączniku do niniejszej uchwały.</w:t>
      </w:r>
    </w:p>
    <w:p w:rsidR="00A77B3E" w:rsidRDefault="003C090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3C090F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7023D9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C090F">
            <w:pPr>
              <w:jc w:val="center"/>
            </w:pPr>
            <w:r>
              <w:t>Przewodniczący Rady Miejskiej</w:t>
            </w:r>
          </w:p>
          <w:p w:rsidR="007023D9" w:rsidRDefault="007023D9">
            <w:pPr>
              <w:jc w:val="center"/>
            </w:pPr>
          </w:p>
          <w:p w:rsidR="007023D9" w:rsidRDefault="003C090F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keepLines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3C090F">
      <w:pPr>
        <w:keepLines/>
        <w:spacing w:before="280" w:after="280" w:line="276" w:lineRule="auto"/>
        <w:ind w:left="4535"/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 Nr IV/36/24</w:t>
      </w:r>
      <w:r>
        <w:br/>
        <w:t>Rady Miejskiej w Bytomiu</w:t>
      </w:r>
      <w:r>
        <w:br/>
        <w:t>z dnia 29 lipca 2024 r.</w:t>
      </w:r>
      <w:r>
        <w:br/>
      </w:r>
      <w:hyperlink r:id="rId9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7023D9" w:rsidRDefault="003C090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7023D9" w:rsidRDefault="003C090F">
      <w:pPr>
        <w:spacing w:before="120" w:after="120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LXXXVII/1095/23 Rady Miejskiej w Bytomiu z dnia 18 grudnia 2023 r. w sprawie wieloletniej prognozy finansowej miasta Bytomia na lata 2024-2046 w załączniku nr 2 pn. „Wykaz przedsięwzięć wieloletnich”:</w:t>
      </w:r>
    </w:p>
    <w:p w:rsidR="007023D9" w:rsidRDefault="003C090F">
      <w:pPr>
        <w:numPr>
          <w:ilvl w:val="0"/>
          <w:numId w:val="1"/>
        </w:numPr>
        <w:spacing w:after="120" w:line="276" w:lineRule="auto"/>
        <w:ind w:left="35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dodaje się pozycje od numeru 1.1.1.11 do 1.1.1.15 w związku z akceptacją przez Narodową Agencję Programu Erasmus+ wniosków o dofinansowanie realizacji w latach 2024-2026 pięciu projektów edukacyjnych, których głównym celem jest podniesienie jakości kształcenia poprzez rozwój kompetencji zawodowych i osobistych uczniów i nauczycieli. Zakładana łączna wartość nakładów finansowych zadań w całości finansowanych ze źródeł zewnętrznych wynosi 1.130.539 zł, w tym w roku 2024 – 240.532 zł, w roku 2025 – 878.974 zł i w roku 2026 – 11.033 zł, w podziale na następujące przedsięwzięcia:</w:t>
      </w:r>
    </w:p>
    <w:p w:rsidR="007023D9" w:rsidRDefault="003C090F">
      <w:pPr>
        <w:numPr>
          <w:ilvl w:val="0"/>
          <w:numId w:val="2"/>
        </w:numPr>
        <w:spacing w:before="120" w:after="12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nr 1.1.1.11 pn. „</w:t>
      </w:r>
      <w:proofErr w:type="spellStart"/>
      <w:r>
        <w:rPr>
          <w:rFonts w:eastAsia="Times New Roman" w:cs="Times New Roman"/>
          <w:szCs w:val="20"/>
        </w:rPr>
        <w:t>EKOsprawni</w:t>
      </w:r>
      <w:proofErr w:type="spellEnd"/>
      <w:r>
        <w:rPr>
          <w:rFonts w:eastAsia="Times New Roman" w:cs="Times New Roman"/>
          <w:szCs w:val="20"/>
        </w:rPr>
        <w:t xml:space="preserve"> – przyszłość zaczyna się w nas” w Szkole Podstawowej Specjalnej nr 40 – 249.253 zł, w tym w roku 2024 – 68.220 zł, w roku 2025 – 170.000 zł i w roku 2026 – 11.033 zł, </w:t>
      </w:r>
    </w:p>
    <w:p w:rsidR="007023D9" w:rsidRDefault="003C090F">
      <w:pPr>
        <w:numPr>
          <w:ilvl w:val="0"/>
          <w:numId w:val="2"/>
        </w:numPr>
        <w:spacing w:before="120" w:after="12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nr 1.1.1.12 pn. „Edukacja Szkolna w Akcji 1 – mobilność uczniów i kadry w edukacji szkolnej” w Branżowej Szkole I Stopnia nr 8 Specjalnej – 78.254 zł, w tym w roku 2024 – 73.702 zł i w roku 2025 – 4.552 zł, </w:t>
      </w:r>
    </w:p>
    <w:p w:rsidR="007023D9" w:rsidRDefault="003C090F">
      <w:pPr>
        <w:numPr>
          <w:ilvl w:val="0"/>
          <w:numId w:val="2"/>
        </w:numPr>
        <w:spacing w:before="120" w:after="12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nr 1.1.1.13 pn. „Europa otwarta dla Technikum nr 4” – 254.997 zł w roku 2025,</w:t>
      </w:r>
    </w:p>
    <w:p w:rsidR="007023D9" w:rsidRDefault="003C090F">
      <w:pPr>
        <w:numPr>
          <w:ilvl w:val="0"/>
          <w:numId w:val="2"/>
        </w:numPr>
        <w:spacing w:before="120" w:after="12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nr 1.1.1.14 pn. „Staże zawodowe w zagranicznych przedsiębiorstwach dla uczniów ZST” w Zespole Szkół Technicznych – 264.885 zł, w tym w roku 2024 – 43.610 zł i w roku 2025 – 221.275 zł,</w:t>
      </w:r>
    </w:p>
    <w:p w:rsidR="007023D9" w:rsidRDefault="003C090F">
      <w:pPr>
        <w:numPr>
          <w:ilvl w:val="0"/>
          <w:numId w:val="2"/>
        </w:numPr>
        <w:spacing w:before="120" w:after="12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nr 1.1.1.15 pn. „Kompetencje zawodowe na całe życie – zagraniczne staże zawodowe dla uczniów i nauczycieli” w Zespole Szkół Gastronomiczno-Hotelarskich – 283.150 zł, w tym w roku 2024 – 55.000 zł i w roku 2025 – 228.150 zł; </w:t>
      </w:r>
    </w:p>
    <w:p w:rsidR="007023D9" w:rsidRDefault="003C090F">
      <w:pPr>
        <w:numPr>
          <w:ilvl w:val="0"/>
          <w:numId w:val="1"/>
        </w:numPr>
        <w:spacing w:after="200" w:line="276" w:lineRule="auto"/>
        <w:ind w:left="35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dokonuje się zmian w ramach przedsięwzięć realizowanych w Miejskim Zarządzie Dróg i Mostów:</w:t>
      </w:r>
    </w:p>
    <w:p w:rsidR="007023D9" w:rsidRDefault="003C090F">
      <w:pPr>
        <w:numPr>
          <w:ilvl w:val="1"/>
          <w:numId w:val="1"/>
        </w:numPr>
        <w:spacing w:after="200" w:line="276" w:lineRule="auto"/>
        <w:ind w:left="69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związku z koniecznością wykonania decyzji o zezwoleniu na realizację inwestycji drogowej (ZRID) oraz wydłużenia terminu opracowania dokumentacji technicznej, w zakresie zadania ujętego w pozycji:</w:t>
      </w:r>
    </w:p>
    <w:p w:rsidR="007023D9" w:rsidRDefault="003C090F">
      <w:pPr>
        <w:numPr>
          <w:ilvl w:val="0"/>
          <w:numId w:val="3"/>
        </w:numPr>
        <w:spacing w:after="20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nr 1.3.2.14 pn. „Przebudowa ulicy Frycza-Modrzewskiego (RFIL)” przenosi się planowane w roku bieżącym w ramach Rządowego Funduszu Inwestycji Lokalnych środki w wysokości 8.707.225 zł do roku 2025 i wydłuża się okres realizacji zadania. Jednocześnie zwiększa się łączne i planowane na 2025 rok nakłady finansowe inwestycji ze środków budżetu miasta o kwotę 12.000 zł z przeznaczeniem na zabezpieczenie środków niezbędnych do zawarcia umowy z wykonawcą,</w:t>
      </w:r>
    </w:p>
    <w:p w:rsidR="007023D9" w:rsidRDefault="003C090F">
      <w:pPr>
        <w:numPr>
          <w:ilvl w:val="1"/>
          <w:numId w:val="1"/>
        </w:numPr>
        <w:spacing w:after="200" w:line="276" w:lineRule="auto"/>
        <w:ind w:left="69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celu dostosowania planu wydatków do zapisów uchwały Zgromadzenia Górnośląsko-Zagłębiowskiej Metropolii z dnia 20 marca 2024 r. dotyczącej udzielenia miastu pomocy finansowej w formie dotacji celowej w ramach Funduszu Odporności oraz Wstępnej Promesy dofinansowania inwestycji z Rządowego Funduszu Polski </w:t>
      </w:r>
      <w:r>
        <w:rPr>
          <w:rFonts w:eastAsia="Times New Roman" w:cs="Times New Roman"/>
          <w:szCs w:val="20"/>
        </w:rPr>
        <w:lastRenderedPageBreak/>
        <w:t xml:space="preserve">Ład: Programu Inwestycji Strategicznych Edycja 8 w zakresie zadań ujętych w pozycjach: </w:t>
      </w:r>
    </w:p>
    <w:p w:rsidR="007023D9" w:rsidRDefault="003C090F">
      <w:pPr>
        <w:numPr>
          <w:ilvl w:val="2"/>
          <w:numId w:val="1"/>
        </w:numPr>
        <w:spacing w:after="20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nr 1.3.2.42 pn. „Budowa drogi na ulicy Wiejskiej – etap I (Polski Ład Edycja 8)” zmniejsza się zaplanowane w ramach Rządowego Funduszu Polski Ład: Programu Inwestycji Strategicznych Edycja 8 łączne nakłady finansowe zadania o kwotę 3.758.520 zł, z tego w roku 2024 o kwotę 751.704 zł i w roku 2025 o kwotę 3.006.816 zł oraz wprowadza się w roku bieżącym środki dotacji celowej przyznanej miastu na realizację inwestycji przez Górnośląsko-Zagłębiowską Metropolię w kwocie 828.125 zł,  </w:t>
      </w:r>
    </w:p>
    <w:p w:rsidR="007023D9" w:rsidRDefault="003C090F">
      <w:pPr>
        <w:numPr>
          <w:ilvl w:val="2"/>
          <w:numId w:val="1"/>
        </w:numPr>
        <w:spacing w:after="20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nr 1.3.2.45 pn. „Przebudowa ul. Cyryla i Metodego – etap I (Polski Ład Edycja 8)” zmniejsza się zaplanowane w ramach Rządowego Funduszu Polski Ład: Programu Inwestycji Strategicznych Edycja 8 łączne nakłady finansowe zadania o kwotę 2.302.128 zł, z tego w roku 2024 o kwotę 460.426 zł i w roku 2025 o kwotę 1.841.702 zł oraz wprowadza się w roku bieżącym środki dotacji celowej przyznanej miastu na realizację inwestycji przez Górnośląsko-Zagłębiowską Metropolię w kwocie 812.008 zł,  </w:t>
      </w:r>
    </w:p>
    <w:p w:rsidR="007023D9" w:rsidRDefault="003C090F">
      <w:pPr>
        <w:numPr>
          <w:ilvl w:val="2"/>
          <w:numId w:val="1"/>
        </w:numPr>
        <w:spacing w:after="200" w:line="276" w:lineRule="auto"/>
        <w:ind w:left="103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nr 1.3.2.46 pn. „Budowa dróg i odwodnienia na części działki o nr geod. 1809/18 w Bytomiu (Polski Ład Edycja 8)” zwiększa się łączne nakłady finansowe przedsięwzięcia o kwotę 8.060.648 zł, w tym z Rządowego Funduszu Polski Ład: Programu Inwestycji Strategicznych Edycja 8 o kwotę 6.060.648 zł (w roku 2024 o 1.212.130 zł, w roku 2025 o 4.848.518 zł), w ramach dofinansowania z budżetu Górnośląsko-Zagłębiowskiej Metropolii o kwotę 359.867 zł (w roku 2024) oraz ze środków budżetu miasta o kwotę 1.640.133 zł (w roku 2025);</w:t>
      </w:r>
    </w:p>
    <w:p w:rsidR="007023D9" w:rsidRDefault="003C090F">
      <w:pPr>
        <w:numPr>
          <w:ilvl w:val="0"/>
          <w:numId w:val="1"/>
        </w:numPr>
        <w:spacing w:after="200" w:line="276" w:lineRule="auto"/>
        <w:ind w:left="357" w:hanging="357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aktualizuje się wartości limitów zobowiązań (kolumna 14 załącznika do uchwały nr LXXXVII/1095/23 Rady Miejskiej w Bytomiu z dnia 18 grudnia 2023 r.), w związku z zawartymi umowami w ramach przedsięwzięć ujętych w pozycjach: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 – nr 1.1.1.2 pn. „Praktyki zawodowe uczniów Technikum nr 4 oraz staże zawodowe nauczycieli w europejskich przedsiębiorstwach”;</w:t>
      </w:r>
    </w:p>
    <w:p w:rsidR="007023D9" w:rsidRDefault="003C090F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1.1.1.3 pn. „Razem wygrywamy”;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1.1.1.5 pn. „Podniesienie jakości kształcenia zawodowego i jakości pracy Technikum nr 4 poprzez zagraniczne praktyki uczniów i staże zawodowe nauczycieli”;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1.1.1.6 pn. „Edukacja szkolna w akcji”;</w:t>
      </w:r>
    </w:p>
    <w:p w:rsidR="007023D9" w:rsidRDefault="003C090F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1.1.1.7 pn. „Aktywni i szczęśliwi – żyć w pełni z niepełnosprawnością”;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1.1.1.8 pn. „Staże zawodowe 2023 dla uczniów oraz działania typu </w:t>
      </w:r>
      <w:proofErr w:type="spellStart"/>
      <w:r>
        <w:rPr>
          <w:rFonts w:eastAsia="Times New Roman" w:cs="Times New Roman"/>
          <w:szCs w:val="20"/>
        </w:rPr>
        <w:t>job-shadowing</w:t>
      </w:r>
      <w:proofErr w:type="spellEnd"/>
      <w:r>
        <w:rPr>
          <w:rFonts w:eastAsia="Times New Roman" w:cs="Times New Roman"/>
          <w:szCs w:val="20"/>
        </w:rPr>
        <w:t xml:space="preserve"> dla nauczycieli”; 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1.1.1.10 pn. „Doświadczenie zawodowe szansą na dobry start i rozwój kariery zawodowej”;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1.1.2.2 pn. „Termomodernizacja oraz zmiana systemów ogrzewania nieruchomości zlokalizowanych w Śródmieściu Bytomia (OSI)”;</w:t>
      </w:r>
    </w:p>
    <w:p w:rsidR="007023D9" w:rsidRDefault="003C090F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1.3.1.18 pn. „Program wsparcia rodzin "Za Życiem"”;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1.3.2.2 pn. „Modernizacja siedziby Bytomskich Mieszkań”;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1.3.2.12 pn. „Remont i adaptacja obiektów przy ul. </w:t>
      </w:r>
      <w:proofErr w:type="spellStart"/>
      <w:r>
        <w:rPr>
          <w:rFonts w:eastAsia="Times New Roman" w:cs="Times New Roman"/>
          <w:szCs w:val="20"/>
        </w:rPr>
        <w:t>Worpie</w:t>
      </w:r>
      <w:proofErr w:type="spellEnd"/>
      <w:r>
        <w:rPr>
          <w:rFonts w:eastAsia="Times New Roman" w:cs="Times New Roman"/>
          <w:szCs w:val="20"/>
        </w:rPr>
        <w:t> 18 i ul. </w:t>
      </w:r>
      <w:proofErr w:type="spellStart"/>
      <w:r>
        <w:rPr>
          <w:rFonts w:eastAsia="Times New Roman" w:cs="Times New Roman"/>
          <w:szCs w:val="20"/>
        </w:rPr>
        <w:t>Stolarzowickiej</w:t>
      </w:r>
      <w:proofErr w:type="spellEnd"/>
      <w:r>
        <w:rPr>
          <w:rFonts w:eastAsia="Times New Roman" w:cs="Times New Roman"/>
          <w:szCs w:val="20"/>
        </w:rPr>
        <w:t> 19 (Polski Ład Edycja 2)”;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– nr 1.3.2.22 pn. „Dostępny DPS dla Dorosłych”;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1.3.2.28 pn. „Poprawa efektywności energetycznej Przedszkola Miejskiego nr 9 przy ul. Obywatelskiej 6 w Bytomiu (Polski Ład)”;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1.3.2.31 pn. „Modernizacja energetyczna budynku Szkoły Podstawowej nr 6 przy ul. Królowej Jadwigi 2 w Bytomiu”;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1.3.2.32 pn. „Modernizacja energetyczna budynku przy ul. Smolenia 20 w Bytomiu”.</w:t>
      </w:r>
    </w:p>
    <w:p w:rsidR="007023D9" w:rsidRDefault="003C09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planu wydatków budżetu miasta na 2024 rok wynikające z § 1 niniejszej uchwały dokonane zostaną w trybie odrębnej uchwały rady miejskiej oraz zarządzeń prezydenta, zgodnie z kompetencjami.</w:t>
      </w:r>
    </w:p>
    <w:sectPr w:rsidR="007023D9" w:rsidSect="007023D9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3D9" w:rsidRDefault="007023D9" w:rsidP="007023D9">
      <w:r>
        <w:separator/>
      </w:r>
    </w:p>
  </w:endnote>
  <w:endnote w:type="continuationSeparator" w:id="0">
    <w:p w:rsidR="007023D9" w:rsidRDefault="007023D9" w:rsidP="007023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23D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3D9" w:rsidRDefault="003C090F">
          <w:pPr>
            <w:rPr>
              <w:sz w:val="18"/>
            </w:rPr>
          </w:pPr>
          <w:r>
            <w:rPr>
              <w:sz w:val="18"/>
            </w:rPr>
            <w:t>Id: 9A300FF8-640C-40E5-9686-739D29420B9A.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3D9" w:rsidRDefault="003C09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835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83510">
            <w:rPr>
              <w:sz w:val="18"/>
            </w:rPr>
            <w:fldChar w:fldCharType="separate"/>
          </w:r>
          <w:r w:rsidR="00342EDE">
            <w:rPr>
              <w:noProof/>
              <w:sz w:val="18"/>
            </w:rPr>
            <w:t>1</w:t>
          </w:r>
          <w:r w:rsidR="00383510">
            <w:rPr>
              <w:sz w:val="18"/>
            </w:rPr>
            <w:fldChar w:fldCharType="end"/>
          </w:r>
        </w:p>
      </w:tc>
    </w:tr>
  </w:tbl>
  <w:p w:rsidR="007023D9" w:rsidRDefault="007023D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23D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3D9" w:rsidRDefault="003C090F">
          <w:pPr>
            <w:rPr>
              <w:sz w:val="18"/>
            </w:rPr>
          </w:pPr>
          <w:r>
            <w:rPr>
              <w:sz w:val="18"/>
            </w:rPr>
            <w:t>Id: 9A300FF8-640C-40E5-9686-739D29420B9A.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3D9" w:rsidRDefault="003C09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835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83510">
            <w:rPr>
              <w:sz w:val="18"/>
            </w:rPr>
            <w:fldChar w:fldCharType="separate"/>
          </w:r>
          <w:r w:rsidR="00342EDE">
            <w:rPr>
              <w:noProof/>
              <w:sz w:val="18"/>
            </w:rPr>
            <w:t>2</w:t>
          </w:r>
          <w:r w:rsidR="00383510">
            <w:rPr>
              <w:sz w:val="18"/>
            </w:rPr>
            <w:fldChar w:fldCharType="end"/>
          </w:r>
        </w:p>
      </w:tc>
    </w:tr>
  </w:tbl>
  <w:p w:rsidR="007023D9" w:rsidRDefault="007023D9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023D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3D9" w:rsidRDefault="003C090F">
          <w:pPr>
            <w:rPr>
              <w:sz w:val="18"/>
            </w:rPr>
          </w:pPr>
          <w:r>
            <w:rPr>
              <w:sz w:val="18"/>
            </w:rPr>
            <w:t>Id: 9A300FF8-640C-40E5-9686-739D29420B9A.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23D9" w:rsidRDefault="003C09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835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83510">
            <w:rPr>
              <w:sz w:val="18"/>
            </w:rPr>
            <w:fldChar w:fldCharType="separate"/>
          </w:r>
          <w:r w:rsidR="00342EDE">
            <w:rPr>
              <w:noProof/>
              <w:sz w:val="18"/>
            </w:rPr>
            <w:t>5</w:t>
          </w:r>
          <w:r w:rsidR="00383510">
            <w:rPr>
              <w:sz w:val="18"/>
            </w:rPr>
            <w:fldChar w:fldCharType="end"/>
          </w:r>
        </w:p>
      </w:tc>
    </w:tr>
  </w:tbl>
  <w:p w:rsidR="007023D9" w:rsidRDefault="007023D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3D9" w:rsidRDefault="007023D9" w:rsidP="007023D9">
      <w:r>
        <w:separator/>
      </w:r>
    </w:p>
  </w:footnote>
  <w:footnote w:type="continuationSeparator" w:id="0">
    <w:p w:rsidR="007023D9" w:rsidRDefault="007023D9" w:rsidP="007023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40C1"/>
    <w:multiLevelType w:val="hybridMultilevel"/>
    <w:tmpl w:val="00000000"/>
    <w:lvl w:ilvl="0" w:tplc="B3789AF0">
      <w:start w:val="1"/>
      <w:numFmt w:val="bullet"/>
      <w:lvlText w:val="-"/>
      <w:lvlJc w:val="left"/>
      <w:pPr>
        <w:spacing w:beforeAutospacing="0" w:after="0" w:afterAutospacing="0" w:line="240" w:lineRule="auto"/>
        <w:ind w:left="1080" w:hanging="360"/>
      </w:pPr>
      <w:rPr>
        <w:rFonts w:ascii="Symbol" w:hAnsi="Symbol"/>
      </w:rPr>
    </w:lvl>
    <w:lvl w:ilvl="1" w:tplc="9678EC5A">
      <w:start w:val="1"/>
      <w:numFmt w:val="bullet"/>
      <w:lvlText w:val="o"/>
      <w:lvlJc w:val="left"/>
      <w:pPr>
        <w:spacing w:beforeAutospacing="0" w:after="0" w:afterAutospacing="0" w:line="240" w:lineRule="auto"/>
        <w:ind w:left="1800" w:hanging="360"/>
      </w:pPr>
      <w:rPr>
        <w:rFonts w:ascii="Courier New" w:hAnsi="Courier New"/>
      </w:rPr>
    </w:lvl>
    <w:lvl w:ilvl="2" w:tplc="C07A9678">
      <w:start w:val="1"/>
      <w:numFmt w:val="bullet"/>
      <w:lvlText w:val="§"/>
      <w:lvlJc w:val="left"/>
      <w:pPr>
        <w:spacing w:beforeAutospacing="0" w:after="0" w:afterAutospacing="0" w:line="240" w:lineRule="auto"/>
        <w:ind w:left="2520" w:hanging="360"/>
      </w:pPr>
      <w:rPr>
        <w:rFonts w:ascii="Wingdings" w:hAnsi="Wingdings"/>
      </w:rPr>
    </w:lvl>
    <w:lvl w:ilvl="3" w:tplc="FA9E2584">
      <w:start w:val="1"/>
      <w:numFmt w:val="bullet"/>
      <w:lvlText w:val="·"/>
      <w:lvlJc w:val="left"/>
      <w:pPr>
        <w:spacing w:beforeAutospacing="0" w:after="0" w:afterAutospacing="0" w:line="240" w:lineRule="auto"/>
        <w:ind w:left="3240" w:hanging="360"/>
      </w:pPr>
      <w:rPr>
        <w:rFonts w:ascii="Symbol" w:hAnsi="Symbol"/>
      </w:rPr>
    </w:lvl>
    <w:lvl w:ilvl="4" w:tplc="B5DAEB24">
      <w:start w:val="1"/>
      <w:numFmt w:val="bullet"/>
      <w:lvlText w:val="o"/>
      <w:lvlJc w:val="left"/>
      <w:pPr>
        <w:spacing w:beforeAutospacing="0" w:after="0" w:afterAutospacing="0" w:line="240" w:lineRule="auto"/>
        <w:ind w:left="3960" w:hanging="360"/>
      </w:pPr>
      <w:rPr>
        <w:rFonts w:ascii="Courier New" w:hAnsi="Courier New"/>
      </w:rPr>
    </w:lvl>
    <w:lvl w:ilvl="5" w:tplc="80C8EA8E">
      <w:start w:val="1"/>
      <w:numFmt w:val="bullet"/>
      <w:lvlText w:val="§"/>
      <w:lvlJc w:val="left"/>
      <w:pPr>
        <w:spacing w:beforeAutospacing="0" w:after="0" w:afterAutospacing="0" w:line="240" w:lineRule="auto"/>
        <w:ind w:left="4680" w:hanging="360"/>
      </w:pPr>
      <w:rPr>
        <w:rFonts w:ascii="Wingdings" w:hAnsi="Wingdings"/>
      </w:rPr>
    </w:lvl>
    <w:lvl w:ilvl="6" w:tplc="FA04F562">
      <w:start w:val="1"/>
      <w:numFmt w:val="bullet"/>
      <w:lvlText w:val="·"/>
      <w:lvlJc w:val="left"/>
      <w:pPr>
        <w:spacing w:beforeAutospacing="0" w:after="0" w:afterAutospacing="0" w:line="240" w:lineRule="auto"/>
        <w:ind w:left="5400" w:hanging="360"/>
      </w:pPr>
      <w:rPr>
        <w:rFonts w:ascii="Symbol" w:hAnsi="Symbol"/>
      </w:rPr>
    </w:lvl>
    <w:lvl w:ilvl="7" w:tplc="6A7EF75C">
      <w:start w:val="1"/>
      <w:numFmt w:val="bullet"/>
      <w:lvlText w:val="o"/>
      <w:lvlJc w:val="left"/>
      <w:pPr>
        <w:spacing w:beforeAutospacing="0" w:after="0" w:afterAutospacing="0" w:line="240" w:lineRule="auto"/>
        <w:ind w:left="6120" w:hanging="360"/>
      </w:pPr>
      <w:rPr>
        <w:rFonts w:ascii="Courier New" w:hAnsi="Courier New"/>
      </w:rPr>
    </w:lvl>
    <w:lvl w:ilvl="8" w:tplc="3C90DD92">
      <w:start w:val="1"/>
      <w:numFmt w:val="bullet"/>
      <w:lvlText w:val="§"/>
      <w:lvlJc w:val="left"/>
      <w:pPr>
        <w:spacing w:beforeAutospacing="0" w:after="0" w:afterAutospacing="0" w:line="240" w:lineRule="auto"/>
        <w:ind w:left="6840" w:hanging="360"/>
      </w:pPr>
      <w:rPr>
        <w:rFonts w:ascii="Wingdings" w:hAnsi="Wingdings"/>
      </w:rPr>
    </w:lvl>
  </w:abstractNum>
  <w:abstractNum w:abstractNumId="1">
    <w:nsid w:val="5DDA461A"/>
    <w:multiLevelType w:val="hybridMultilevel"/>
    <w:tmpl w:val="00000000"/>
    <w:lvl w:ilvl="0" w:tplc="BFDA9F94">
      <w:start w:val="1"/>
      <w:numFmt w:val="decimal"/>
      <w:lvlText w:val="%1)"/>
      <w:lvlJc w:val="left"/>
      <w:pPr>
        <w:spacing w:beforeAutospacing="0" w:after="0" w:afterAutospacing="0" w:line="240" w:lineRule="auto"/>
        <w:ind w:left="720" w:hanging="360"/>
      </w:pPr>
    </w:lvl>
    <w:lvl w:ilvl="1" w:tplc="73FCEE94">
      <w:start w:val="1"/>
      <w:numFmt w:val="lowerLetter"/>
      <w:lvlText w:val="%2)"/>
      <w:lvlJc w:val="left"/>
      <w:pPr>
        <w:spacing w:beforeAutospacing="0" w:after="0" w:afterAutospacing="0" w:line="240" w:lineRule="auto"/>
        <w:ind w:left="1440" w:hanging="360"/>
      </w:pPr>
      <w:rPr>
        <w:color w:val="auto"/>
        <w:sz w:val="24"/>
      </w:rPr>
    </w:lvl>
    <w:lvl w:ilvl="2" w:tplc="327634D2">
      <w:start w:val="1"/>
      <w:numFmt w:val="bullet"/>
      <w:lvlText w:val="-"/>
      <w:lvlJc w:val="left"/>
      <w:pPr>
        <w:spacing w:beforeAutospacing="0" w:after="0" w:afterAutospacing="0" w:line="240" w:lineRule="auto"/>
        <w:ind w:left="2160" w:hanging="180"/>
      </w:pPr>
      <w:rPr>
        <w:rFonts w:ascii="Symbol" w:hAnsi="Symbol"/>
        <w:color w:val="auto"/>
        <w:sz w:val="24"/>
      </w:rPr>
    </w:lvl>
    <w:lvl w:ilvl="3" w:tplc="C06A55AA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 w:tplc="E43086D0">
      <w:start w:val="1"/>
      <w:numFmt w:val="lowerLetter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 w:tplc="75920026">
      <w:start w:val="1"/>
      <w:numFmt w:val="lowerRoman"/>
      <w:lvlText w:val="%6."/>
      <w:lvlJc w:val="right"/>
      <w:pPr>
        <w:spacing w:beforeAutospacing="0" w:after="0" w:afterAutospacing="0" w:line="240" w:lineRule="auto"/>
        <w:ind w:left="4320" w:hanging="180"/>
      </w:pPr>
    </w:lvl>
    <w:lvl w:ilvl="6" w:tplc="2C32FEF8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 w:tplc="FFBC9354">
      <w:start w:val="1"/>
      <w:numFmt w:val="lowerLetter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 w:tplc="6DB07412">
      <w:start w:val="1"/>
      <w:numFmt w:val="lowerRoman"/>
      <w:lvlText w:val="%9."/>
      <w:lvlJc w:val="right"/>
      <w:pPr>
        <w:spacing w:beforeAutospacing="0" w:after="0" w:afterAutospacing="0" w:line="240" w:lineRule="auto"/>
        <w:ind w:left="6480" w:hanging="180"/>
      </w:pPr>
    </w:lvl>
  </w:abstractNum>
  <w:abstractNum w:abstractNumId="2">
    <w:nsid w:val="692F723B"/>
    <w:multiLevelType w:val="hybridMultilevel"/>
    <w:tmpl w:val="00000000"/>
    <w:lvl w:ilvl="0" w:tplc="3D0AF550">
      <w:start w:val="1"/>
      <w:numFmt w:val="bullet"/>
      <w:lvlText w:val="-"/>
      <w:lvlJc w:val="left"/>
      <w:pPr>
        <w:spacing w:beforeAutospacing="0" w:after="0" w:afterAutospacing="0" w:line="240" w:lineRule="auto"/>
        <w:ind w:left="2700" w:hanging="360"/>
      </w:pPr>
      <w:rPr>
        <w:rFonts w:ascii="Symbol" w:hAnsi="Symbol"/>
      </w:rPr>
    </w:lvl>
    <w:lvl w:ilvl="1" w:tplc="85603956">
      <w:start w:val="1"/>
      <w:numFmt w:val="bullet"/>
      <w:lvlText w:val="o"/>
      <w:lvlJc w:val="left"/>
      <w:pPr>
        <w:spacing w:beforeAutospacing="0" w:after="0" w:afterAutospacing="0" w:line="240" w:lineRule="auto"/>
        <w:ind w:left="3420" w:hanging="360"/>
      </w:pPr>
      <w:rPr>
        <w:rFonts w:ascii="Courier New" w:hAnsi="Courier New"/>
      </w:rPr>
    </w:lvl>
    <w:lvl w:ilvl="2" w:tplc="FCDE98F4">
      <w:start w:val="1"/>
      <w:numFmt w:val="bullet"/>
      <w:lvlText w:val="§"/>
      <w:lvlJc w:val="left"/>
      <w:pPr>
        <w:spacing w:beforeAutospacing="0" w:after="0" w:afterAutospacing="0" w:line="240" w:lineRule="auto"/>
        <w:ind w:left="4140" w:hanging="360"/>
      </w:pPr>
      <w:rPr>
        <w:rFonts w:ascii="Wingdings" w:hAnsi="Wingdings"/>
      </w:rPr>
    </w:lvl>
    <w:lvl w:ilvl="3" w:tplc="305CB9FA">
      <w:start w:val="1"/>
      <w:numFmt w:val="bullet"/>
      <w:lvlText w:val="·"/>
      <w:lvlJc w:val="left"/>
      <w:pPr>
        <w:spacing w:beforeAutospacing="0" w:after="0" w:afterAutospacing="0" w:line="240" w:lineRule="auto"/>
        <w:ind w:left="4860" w:hanging="360"/>
      </w:pPr>
      <w:rPr>
        <w:rFonts w:ascii="Symbol" w:hAnsi="Symbol"/>
      </w:rPr>
    </w:lvl>
    <w:lvl w:ilvl="4" w:tplc="4CB04CF2">
      <w:start w:val="1"/>
      <w:numFmt w:val="bullet"/>
      <w:lvlText w:val="o"/>
      <w:lvlJc w:val="left"/>
      <w:pPr>
        <w:spacing w:beforeAutospacing="0" w:after="0" w:afterAutospacing="0" w:line="240" w:lineRule="auto"/>
        <w:ind w:left="5580" w:hanging="360"/>
      </w:pPr>
      <w:rPr>
        <w:rFonts w:ascii="Courier New" w:hAnsi="Courier New"/>
      </w:rPr>
    </w:lvl>
    <w:lvl w:ilvl="5" w:tplc="40A205EE">
      <w:start w:val="1"/>
      <w:numFmt w:val="bullet"/>
      <w:lvlText w:val="§"/>
      <w:lvlJc w:val="left"/>
      <w:pPr>
        <w:spacing w:beforeAutospacing="0" w:after="0" w:afterAutospacing="0" w:line="240" w:lineRule="auto"/>
        <w:ind w:left="6300" w:hanging="360"/>
      </w:pPr>
      <w:rPr>
        <w:rFonts w:ascii="Wingdings" w:hAnsi="Wingdings"/>
      </w:rPr>
    </w:lvl>
    <w:lvl w:ilvl="6" w:tplc="D186BDC4">
      <w:start w:val="1"/>
      <w:numFmt w:val="bullet"/>
      <w:lvlText w:val="·"/>
      <w:lvlJc w:val="left"/>
      <w:pPr>
        <w:spacing w:beforeAutospacing="0" w:after="0" w:afterAutospacing="0" w:line="240" w:lineRule="auto"/>
        <w:ind w:left="7020" w:hanging="360"/>
      </w:pPr>
      <w:rPr>
        <w:rFonts w:ascii="Symbol" w:hAnsi="Symbol"/>
      </w:rPr>
    </w:lvl>
    <w:lvl w:ilvl="7" w:tplc="8F00849A">
      <w:start w:val="1"/>
      <w:numFmt w:val="bullet"/>
      <w:lvlText w:val="o"/>
      <w:lvlJc w:val="left"/>
      <w:pPr>
        <w:spacing w:beforeAutospacing="0" w:after="0" w:afterAutospacing="0" w:line="240" w:lineRule="auto"/>
        <w:ind w:left="7740" w:hanging="360"/>
      </w:pPr>
      <w:rPr>
        <w:rFonts w:ascii="Courier New" w:hAnsi="Courier New"/>
      </w:rPr>
    </w:lvl>
    <w:lvl w:ilvl="8" w:tplc="6DE8C778">
      <w:start w:val="1"/>
      <w:numFmt w:val="bullet"/>
      <w:lvlText w:val="§"/>
      <w:lvlJc w:val="left"/>
      <w:pPr>
        <w:spacing w:beforeAutospacing="0" w:after="0" w:afterAutospacing="0" w:line="240" w:lineRule="auto"/>
        <w:ind w:left="846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42EDE"/>
    <w:rsid w:val="00383510"/>
    <w:rsid w:val="003C090F"/>
    <w:rsid w:val="007023D9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23D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rsid w:val="007023D9"/>
    <w:pPr>
      <w:spacing w:after="200" w:line="276" w:lineRule="auto"/>
      <w:ind w:left="720"/>
      <w:contextualSpacing/>
    </w:pPr>
    <w:rPr>
      <w:rFonts w:eastAsia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file:///C:\Users\asteuer\AppData\Local\Temp\Legislator\C0403F90-F5F4-46B3-8CE1-3FF76DD478E8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1164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IV/36/24 z dnia 29 lipca 2024 r.</dc:title>
  <dc:subject>zmieniająca uchwałę nr LXXXVII/1095/23 Rady Miejskiej w^Bytomiu w^sprawie wieloletniej prognozy finansowej miasta Bytomia na lata 2024-2046</dc:subject>
  <dc:creator>asteuer</dc:creator>
  <cp:lastModifiedBy>asteuer</cp:lastModifiedBy>
  <cp:revision>2</cp:revision>
  <dcterms:created xsi:type="dcterms:W3CDTF">2024-07-31T12:19:00Z</dcterms:created>
  <dcterms:modified xsi:type="dcterms:W3CDTF">2024-07-31T12:19:00Z</dcterms:modified>
  <cp:category>Akt prawny</cp:category>
</cp:coreProperties>
</file>