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word/footer4.xml" ContentType="application/vnd.openxmlformats-officedocument.wordprocessingml.footer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77B3E" w:rsidRDefault="007066AB">
      <w:pPr>
        <w:spacing w:line="276" w:lineRule="auto"/>
        <w:jc w:val="center"/>
        <w:rPr>
          <w:b/>
          <w:caps/>
        </w:rPr>
      </w:pPr>
      <w:r>
        <w:rPr>
          <w:b/>
          <w:caps/>
        </w:rPr>
        <w:t>Uchwała Nr LXXXVII/1095/23</w:t>
      </w:r>
      <w:r>
        <w:rPr>
          <w:b/>
          <w:caps/>
        </w:rPr>
        <w:br/>
        <w:t>Rady Miejskiej w Bytomiu</w:t>
      </w:r>
    </w:p>
    <w:p w:rsidR="00A77B3E" w:rsidRDefault="007066AB">
      <w:pPr>
        <w:spacing w:before="280" w:after="280" w:line="276" w:lineRule="auto"/>
        <w:jc w:val="center"/>
        <w:rPr>
          <w:b/>
          <w:caps/>
        </w:rPr>
      </w:pPr>
      <w:r>
        <w:t>z dnia 18 grudnia 2023 r.</w:t>
      </w:r>
    </w:p>
    <w:p w:rsidR="00A77B3E" w:rsidRDefault="007066AB">
      <w:pPr>
        <w:keepNext/>
        <w:spacing w:after="480" w:line="276" w:lineRule="auto"/>
        <w:jc w:val="center"/>
      </w:pPr>
      <w:r>
        <w:rPr>
          <w:b/>
        </w:rPr>
        <w:t>w sprawie wieloletniej prognozy finansowej miasta Bytomia na lata 2024-2046</w:t>
      </w:r>
    </w:p>
    <w:p w:rsidR="00A77B3E" w:rsidRDefault="007066AB">
      <w:pPr>
        <w:keepLines/>
        <w:spacing w:before="120" w:after="120" w:line="276" w:lineRule="auto"/>
        <w:ind w:firstLine="227"/>
      </w:pPr>
      <w:r>
        <w:t>Na podstawie art. 18 ust. 2 pkt 15 ustawy z dnia 8 marca 1990 r. o samorządzie gminnym (Dz. U. z 2023</w:t>
      </w:r>
      <w:r>
        <w:t> r. poz. 40, z późn. zm.), art. 12 pkt 11 w związku z art. 92 ustawy z dnia 5 czerwca 1998 r. o samorządzie powiatowym (Dz. U. z 2022 r. poz. 1526, z późn. zm.) oraz art. 226, art. 227, art. 228, art. 229, art. 230 ust. 6, art. 258 ust. 1 pkt 3 ustawy z  d</w:t>
      </w:r>
      <w:r>
        <w:t>nia 27  sierpnia 2009  roku o  finansach publicznych (Dz. U. z 2023 r. poz. 1270, z późn.zm.) i rozporządzenia Ministra Finansów z dnia 10 stycznia 2013 r. w sprawie wieloletniej prognozy finansowej jednostki samorządu terytorialnego (Dz.U. z 2021 r. poz. </w:t>
      </w:r>
      <w:r>
        <w:t>83) uchwala się, co następuje:</w:t>
      </w:r>
    </w:p>
    <w:p w:rsidR="00A77B3E" w:rsidRDefault="007066AB">
      <w:pPr>
        <w:keepLines/>
        <w:spacing w:before="120" w:after="120" w:line="276" w:lineRule="auto"/>
        <w:ind w:firstLine="340"/>
      </w:pPr>
      <w:r>
        <w:rPr>
          <w:b/>
        </w:rPr>
        <w:t>§ 1. </w:t>
      </w:r>
      <w:r>
        <w:t>Uchwala się wieloletnią prognozę finansową miasta Bytomia na lata 2024-2046 określającą:</w:t>
      </w:r>
    </w:p>
    <w:p w:rsidR="00A77B3E" w:rsidRDefault="007066AB">
      <w:pPr>
        <w:spacing w:before="120" w:after="120" w:line="276" w:lineRule="auto"/>
        <w:ind w:left="340" w:hanging="227"/>
      </w:pPr>
      <w:r>
        <w:t>1) </w:t>
      </w:r>
      <w:r>
        <w:t>dochody bieżące oraz wydatki bieżące budżetu miasta, w tym na obsługę długu, gwarancje i poręczenia;</w:t>
      </w:r>
    </w:p>
    <w:p w:rsidR="00A77B3E" w:rsidRDefault="007066AB">
      <w:pPr>
        <w:spacing w:before="120" w:after="120" w:line="276" w:lineRule="auto"/>
        <w:ind w:left="340" w:hanging="227"/>
      </w:pPr>
      <w:r>
        <w:t>2) </w:t>
      </w:r>
      <w:r>
        <w:t>dochody majątkowe, w tym</w:t>
      </w:r>
      <w:r>
        <w:t xml:space="preserve"> dochody ze sprzedaży majątku oraz wydatki majątkowe budżetu miasta;</w:t>
      </w:r>
    </w:p>
    <w:p w:rsidR="00A77B3E" w:rsidRDefault="007066AB">
      <w:pPr>
        <w:spacing w:before="120" w:after="120" w:line="276" w:lineRule="auto"/>
        <w:ind w:left="340" w:hanging="227"/>
      </w:pPr>
      <w:r>
        <w:t>3) </w:t>
      </w:r>
      <w:r>
        <w:t>wynik budżetu miasta;</w:t>
      </w:r>
    </w:p>
    <w:p w:rsidR="00A77B3E" w:rsidRDefault="007066AB">
      <w:pPr>
        <w:spacing w:before="120" w:after="120" w:line="276" w:lineRule="auto"/>
        <w:ind w:left="340" w:hanging="227"/>
      </w:pPr>
      <w:r>
        <w:t>4) </w:t>
      </w:r>
      <w:r>
        <w:t>przeznaczenie nadwyżki;</w:t>
      </w:r>
    </w:p>
    <w:p w:rsidR="00A77B3E" w:rsidRDefault="007066AB">
      <w:pPr>
        <w:spacing w:before="120" w:after="120" w:line="276" w:lineRule="auto"/>
        <w:ind w:left="340" w:hanging="227"/>
      </w:pPr>
      <w:r>
        <w:t>5) </w:t>
      </w:r>
      <w:r>
        <w:t>przychody i rozchody budżetu miasta, z uwzględnieniem długu zaciągniętego oraz planowanego do zaciągnięcia;</w:t>
      </w:r>
    </w:p>
    <w:p w:rsidR="00A77B3E" w:rsidRDefault="007066AB">
      <w:pPr>
        <w:spacing w:before="120" w:after="120" w:line="276" w:lineRule="auto"/>
        <w:ind w:left="340" w:hanging="227"/>
      </w:pPr>
      <w:r>
        <w:t>6) </w:t>
      </w:r>
      <w:r>
        <w:t>kwotę długu miasta, w</w:t>
      </w:r>
      <w:r>
        <w:t> tym relacje, o których mowa w art. 242 i 243 uofp oraz sposób sfinansowania spłaty długu;</w:t>
      </w:r>
    </w:p>
    <w:p w:rsidR="00A77B3E" w:rsidRDefault="007066AB">
      <w:pPr>
        <w:spacing w:before="120" w:after="120" w:line="276" w:lineRule="auto"/>
        <w:ind w:left="340" w:hanging="227"/>
      </w:pPr>
      <w:r>
        <w:t>7) </w:t>
      </w:r>
      <w:r>
        <w:t>kwoty wydatków bieżących i majątkowych wynikających z limitów wydatków na planowane i realizowane przedsięwzięcia, o których mowa w § 2 niniejszej uchwały,</w:t>
      </w:r>
    </w:p>
    <w:p w:rsidR="00A77B3E" w:rsidRDefault="007066AB">
      <w:pPr>
        <w:keepLines/>
        <w:spacing w:before="120" w:after="120" w:line="276" w:lineRule="auto"/>
        <w:ind w:left="567" w:hanging="113"/>
      </w:pPr>
      <w:r>
        <w:t>- </w:t>
      </w:r>
      <w:r>
        <w:t>zgod</w:t>
      </w:r>
      <w:r>
        <w:t>nie z załącznikiem nr 1 do niniejszej uchwały.</w:t>
      </w:r>
    </w:p>
    <w:p w:rsidR="00A77B3E" w:rsidRDefault="007066AB">
      <w:pPr>
        <w:keepLines/>
        <w:spacing w:before="120" w:after="120" w:line="276" w:lineRule="auto"/>
        <w:ind w:firstLine="340"/>
      </w:pPr>
      <w:r>
        <w:rPr>
          <w:b/>
        </w:rPr>
        <w:t>§ 2. </w:t>
      </w:r>
      <w:r>
        <w:t>Ustala się przedsięwzięcia wieloletnie realizowane przez miasto, zgodnie z wykazem stanowiącym załącznik nr 2 do niniejszej uchwały.</w:t>
      </w:r>
    </w:p>
    <w:p w:rsidR="00A77B3E" w:rsidRDefault="007066AB">
      <w:pPr>
        <w:keepLines/>
        <w:spacing w:before="120" w:after="120" w:line="276" w:lineRule="auto"/>
        <w:ind w:firstLine="340"/>
      </w:pPr>
      <w:r>
        <w:rPr>
          <w:b/>
        </w:rPr>
        <w:t>§ 3. </w:t>
      </w:r>
      <w:r>
        <w:t>Do wieloletniej prognozy finansowej dołącza się objaśnienia przyję</w:t>
      </w:r>
      <w:r>
        <w:t>tych wartości.</w:t>
      </w:r>
    </w:p>
    <w:p w:rsidR="00A77B3E" w:rsidRDefault="007066AB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rPr>
          <w:b/>
        </w:rPr>
        <w:t>§ 4. </w:t>
      </w:r>
      <w:r>
        <w:t>1. </w:t>
      </w:r>
      <w:r>
        <w:t>Upoważnia się Prezydenta Miasta do:</w:t>
      </w:r>
    </w:p>
    <w:p w:rsidR="00A77B3E" w:rsidRDefault="007066AB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>zaciągania zobowiązań związanych z realizacją przedsięwzięć, o których mowa w § 2;</w:t>
      </w:r>
    </w:p>
    <w:p w:rsidR="00A77B3E" w:rsidRDefault="007066AB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 xml:space="preserve">zaciągania zobowiązań z tytułu umów, których realizacja w roku budżetowym i w latach następnych jest </w:t>
      </w:r>
      <w:r>
        <w:rPr>
          <w:color w:val="000000"/>
          <w:u w:color="000000"/>
        </w:rPr>
        <w:t>niezbędna dla zapewnienia ciągłości działania miasta i z których wynikające płatności wykraczają poza rok budżetowy;</w:t>
      </w:r>
    </w:p>
    <w:p w:rsidR="00A77B3E" w:rsidRDefault="007066AB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lastRenderedPageBreak/>
        <w:t>3) </w:t>
      </w:r>
      <w:r>
        <w:rPr>
          <w:color w:val="000000"/>
          <w:u w:color="000000"/>
        </w:rPr>
        <w:t xml:space="preserve">dokonywania zmian limitów zobowiązań i kwot wydatków na realizację przedsięwzięcia finansowanego z udziałem środków europejskich albo </w:t>
      </w:r>
      <w:r>
        <w:rPr>
          <w:color w:val="000000"/>
          <w:u w:color="000000"/>
        </w:rPr>
        <w:t>środków, o których mowa w art. 5 ust.1 pkt 3, w związku ze zmianami w realizacji tego przedsięwzięcia, o ile zmiany te nie pogorszą wyniku budżetu dla każdego roku objętego wieloletnią prognozą finansową. Upoważnienie to obejmuje także upoważnienie do doko</w:t>
      </w:r>
      <w:r>
        <w:rPr>
          <w:color w:val="000000"/>
          <w:u w:color="000000"/>
        </w:rPr>
        <w:t xml:space="preserve">nywania zmian środków przeznaczonych na współfinansowanie realizacji przedsięwzięć, o których mowa w zdaniu pierwszym, w tym wkładu własnego beneficjenta, oraz wynikających z rozstrzygnięć konkursów, o których mowa w art. 38 ust. 1 pkt 1 ustawy o zasadach </w:t>
      </w:r>
      <w:r>
        <w:rPr>
          <w:color w:val="000000"/>
          <w:u w:color="000000"/>
        </w:rPr>
        <w:t>realizacji programów.</w:t>
      </w:r>
    </w:p>
    <w:p w:rsidR="00A77B3E" w:rsidRDefault="007066AB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Upoważnia się Prezydenta Miasta do przekazania uprawnień do zaciągania zobowiązań, o których mowa w ust. 1 pkt 1 i 2, kierownikom jednostek organizacyjnych miasta.</w:t>
      </w:r>
    </w:p>
    <w:p w:rsidR="00A77B3E" w:rsidRDefault="007066AB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rPr>
          <w:b/>
        </w:rPr>
        <w:t>§ 5. </w:t>
      </w:r>
      <w:r>
        <w:rPr>
          <w:color w:val="000000"/>
          <w:u w:color="000000"/>
        </w:rPr>
        <w:t>Wykonanie uchwały powierza się Prezydentowi Miasta.</w:t>
      </w:r>
    </w:p>
    <w:p w:rsidR="00A77B3E" w:rsidRDefault="007066AB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rPr>
          <w:b/>
        </w:rPr>
        <w:t>§ 6. </w:t>
      </w:r>
      <w:r>
        <w:rPr>
          <w:color w:val="000000"/>
          <w:u w:color="000000"/>
        </w:rPr>
        <w:t>Z dni</w:t>
      </w:r>
      <w:r>
        <w:rPr>
          <w:color w:val="000000"/>
          <w:u w:color="000000"/>
        </w:rPr>
        <w:t>em 31 grudnia 2023 roku traci moc uchwała nr LXXII/911/22 Rady Miejskiej w Bytomiu z dnia 19 grudnia 2022 r. w sprawie wieloletniej prognozy finansowej miasta Bytomia na lata 2023-2046.</w:t>
      </w:r>
    </w:p>
    <w:p w:rsidR="00A77B3E" w:rsidRDefault="007066AB">
      <w:pPr>
        <w:keepNext/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rPr>
          <w:b/>
        </w:rPr>
        <w:t>§ 7. </w:t>
      </w:r>
      <w:r>
        <w:rPr>
          <w:color w:val="000000"/>
          <w:u w:color="000000"/>
        </w:rPr>
        <w:t>Uchwała wchodzi w życie z dniem 1 stycznia 2024 r.</w:t>
      </w:r>
    </w:p>
    <w:p w:rsidR="00A77B3E" w:rsidRDefault="00A77B3E">
      <w:pPr>
        <w:keepNext/>
        <w:keepLines/>
        <w:spacing w:before="120" w:after="120" w:line="276" w:lineRule="auto"/>
        <w:ind w:firstLine="340"/>
        <w:rPr>
          <w:color w:val="000000"/>
          <w:u w:color="000000"/>
        </w:rPr>
      </w:pPr>
    </w:p>
    <w:p w:rsidR="00A77B3E" w:rsidRDefault="007066AB">
      <w:pPr>
        <w:keepNext/>
        <w:rPr>
          <w:color w:val="000000"/>
          <w:u w:color="000000"/>
        </w:rPr>
      </w:pPr>
      <w:r>
        <w:rPr>
          <w:color w:val="000000"/>
        </w:rPr>
        <w:t> </w:t>
      </w:r>
    </w:p>
    <w:tbl>
      <w:tblPr>
        <w:tblW w:w="5000" w:type="pct"/>
        <w:tblCellMar>
          <w:left w:w="0" w:type="dxa"/>
          <w:right w:w="0" w:type="dxa"/>
        </w:tblCellMar>
        <w:tblLook w:val="04A0"/>
      </w:tblPr>
      <w:tblGrid>
        <w:gridCol w:w="4933"/>
        <w:gridCol w:w="4933"/>
      </w:tblGrid>
      <w:tr w:rsidR="004D1287"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4D1287" w:rsidRDefault="004D1287">
            <w:pPr>
              <w:keepNext/>
              <w:keepLines/>
              <w:rPr>
                <w:color w:val="000000"/>
              </w:rPr>
            </w:pPr>
          </w:p>
        </w:tc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4D1287" w:rsidRDefault="007066AB">
            <w:pPr>
              <w:keepNext/>
              <w:keepLines/>
              <w:spacing w:before="100" w:after="40"/>
              <w:ind w:left="1134" w:right="1134"/>
              <w:jc w:val="center"/>
              <w:rPr>
                <w:color w:val="000000"/>
              </w:rPr>
            </w:pPr>
            <w:r>
              <w:rPr>
                <w:color w:val="000000"/>
              </w:rPr>
              <w:t>Przewodnic</w:t>
            </w:r>
            <w:r>
              <w:rPr>
                <w:color w:val="000000"/>
              </w:rPr>
              <w:t>zący Rady Miejskiej</w:t>
            </w:r>
            <w:r>
              <w:rPr>
                <w:color w:val="000000"/>
              </w:rPr>
              <w:br/>
            </w:r>
            <w:r>
              <w:rPr>
                <w:color w:val="000000"/>
              </w:rPr>
              <w:br/>
            </w:r>
            <w:r>
              <w:rPr>
                <w:color w:val="000000"/>
              </w:rPr>
              <w:br/>
            </w:r>
            <w:r>
              <w:rPr>
                <w:b/>
              </w:rPr>
              <w:t>Michał Staniszewski</w:t>
            </w:r>
          </w:p>
        </w:tc>
      </w:tr>
    </w:tbl>
    <w:p w:rsidR="00A77B3E" w:rsidRDefault="00A77B3E">
      <w:pPr>
        <w:keepNext/>
        <w:rPr>
          <w:color w:val="000000"/>
          <w:u w:color="000000"/>
        </w:rPr>
        <w:sectPr w:rsidR="00A77B3E">
          <w:footerReference w:type="default" r:id="rId6"/>
          <w:endnotePr>
            <w:numFmt w:val="decimal"/>
          </w:endnotePr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</w:p>
    <w:p w:rsidR="00A77B3E" w:rsidRDefault="007066AB">
      <w:pPr>
        <w:keepNext/>
        <w:spacing w:before="280" w:after="280" w:line="276" w:lineRule="auto"/>
        <w:ind w:left="4535"/>
        <w:rPr>
          <w:color w:val="000000"/>
          <w:u w:color="000000"/>
        </w:rPr>
        <w:sectPr w:rsidR="00A77B3E">
          <w:footerReference w:type="default" r:id="rId7"/>
          <w:endnotePr>
            <w:numFmt w:val="decimal"/>
          </w:endnotePr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  <w:r>
        <w:lastRenderedPageBreak/>
        <w:t>Załącznik Nr 1 do uchwały</w:t>
      </w:r>
      <w:r>
        <w:rPr>
          <w:color w:val="000000"/>
          <w:u w:color="000000"/>
        </w:rPr>
        <w:t xml:space="preserve"> Nr LXXXVII/1095/23</w:t>
      </w:r>
      <w:r>
        <w:rPr>
          <w:color w:val="000000"/>
          <w:u w:color="000000"/>
        </w:rPr>
        <w:br/>
      </w:r>
      <w:r>
        <w:t>Rady Miejskiej w Bytomiu</w:t>
      </w:r>
      <w:r>
        <w:rPr>
          <w:color w:val="000000"/>
          <w:u w:color="000000"/>
        </w:rPr>
        <w:br/>
      </w:r>
      <w:r>
        <w:t>z dnia 18 grudnia 2023 r.</w:t>
      </w:r>
      <w:r>
        <w:rPr>
          <w:color w:val="000000"/>
          <w:u w:color="000000"/>
        </w:rPr>
        <w:br/>
      </w:r>
      <w:hyperlink r:id="rId8" w:history="1">
        <w:r>
          <w:rPr>
            <w:rStyle w:val="Hipercze"/>
            <w:color w:val="000000"/>
            <w:u w:val="none" w:color="000000"/>
          </w:rPr>
          <w:t>Zalacznik1.pdf</w:t>
        </w:r>
      </w:hyperlink>
    </w:p>
    <w:p w:rsidR="00A77B3E" w:rsidRDefault="007066AB">
      <w:pPr>
        <w:keepNext/>
        <w:spacing w:before="280" w:after="280" w:line="276" w:lineRule="auto"/>
        <w:ind w:left="4535"/>
        <w:rPr>
          <w:color w:val="000000"/>
          <w:u w:color="000000"/>
        </w:rPr>
        <w:sectPr w:rsidR="00A77B3E">
          <w:footerReference w:type="default" r:id="rId9"/>
          <w:endnotePr>
            <w:numFmt w:val="decimal"/>
          </w:endnotePr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  <w:r>
        <w:lastRenderedPageBreak/>
        <w:t xml:space="preserve">Załącznik Nr </w:t>
      </w:r>
      <w:r>
        <w:t>2 do uchwały</w:t>
      </w:r>
      <w:r>
        <w:rPr>
          <w:color w:val="000000"/>
          <w:u w:color="000000"/>
        </w:rPr>
        <w:t xml:space="preserve"> Nr LXXXVII/1095/23</w:t>
      </w:r>
      <w:r>
        <w:rPr>
          <w:color w:val="000000"/>
          <w:u w:color="000000"/>
        </w:rPr>
        <w:br/>
      </w:r>
      <w:r>
        <w:t>Rady Miejskiej w Bytomiu</w:t>
      </w:r>
      <w:r>
        <w:rPr>
          <w:color w:val="000000"/>
          <w:u w:color="000000"/>
        </w:rPr>
        <w:br/>
      </w:r>
      <w:r>
        <w:t>z dnia 18 grudnia 2023 r.</w:t>
      </w:r>
      <w:r>
        <w:rPr>
          <w:color w:val="000000"/>
          <w:u w:color="000000"/>
        </w:rPr>
        <w:br/>
      </w:r>
      <w:hyperlink r:id="rId10" w:history="1">
        <w:r>
          <w:rPr>
            <w:rStyle w:val="Hipercze"/>
            <w:color w:val="000000"/>
            <w:u w:val="none" w:color="000000"/>
          </w:rPr>
          <w:t>Zalacznik2.pdf</w:t>
        </w:r>
      </w:hyperlink>
    </w:p>
    <w:p w:rsidR="00A77B3E" w:rsidRDefault="007066AB">
      <w:pPr>
        <w:keepNext/>
        <w:spacing w:before="280" w:after="280" w:line="276" w:lineRule="auto"/>
        <w:ind w:left="4535"/>
        <w:rPr>
          <w:color w:val="000000"/>
          <w:u w:color="000000"/>
        </w:rPr>
      </w:pPr>
      <w:r>
        <w:lastRenderedPageBreak/>
        <w:t>Załącznik Nr 3 do uchwały</w:t>
      </w:r>
      <w:r>
        <w:rPr>
          <w:color w:val="000000"/>
          <w:u w:color="000000"/>
        </w:rPr>
        <w:t xml:space="preserve"> Nr LXXXVII/1095/23</w:t>
      </w:r>
      <w:r>
        <w:rPr>
          <w:color w:val="000000"/>
          <w:u w:color="000000"/>
        </w:rPr>
        <w:br/>
      </w:r>
      <w:r>
        <w:t>Rady Miejskiej w Bytomiu</w:t>
      </w:r>
      <w:r>
        <w:rPr>
          <w:color w:val="000000"/>
          <w:u w:color="000000"/>
        </w:rPr>
        <w:br/>
      </w:r>
      <w:r>
        <w:t>z dnia 18 grudnia 2023 r.</w:t>
      </w:r>
      <w:r>
        <w:rPr>
          <w:color w:val="000000"/>
          <w:u w:color="000000"/>
        </w:rPr>
        <w:br/>
      </w:r>
      <w:hyperlink r:id="rId11" w:history="1">
        <w:r>
          <w:rPr>
            <w:rStyle w:val="Hipercze"/>
            <w:color w:val="000000"/>
            <w:u w:val="none" w:color="000000"/>
          </w:rPr>
          <w:t>Zala</w:t>
        </w:r>
        <w:r>
          <w:rPr>
            <w:rStyle w:val="Hipercze"/>
            <w:color w:val="000000"/>
            <w:u w:val="none" w:color="000000"/>
          </w:rPr>
          <w:t>cznik3.pdf</w:t>
        </w:r>
      </w:hyperlink>
    </w:p>
    <w:sectPr w:rsidR="00A77B3E" w:rsidSect="004D1287">
      <w:footerReference w:type="default" r:id="rId12"/>
      <w:endnotePr>
        <w:numFmt w:val="decimal"/>
      </w:endnotePr>
      <w:pgSz w:w="11906" w:h="16838"/>
      <w:pgMar w:top="1417" w:right="1020" w:bottom="992" w:left="102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D1287" w:rsidRDefault="004D1287" w:rsidP="004D1287">
      <w:r>
        <w:separator/>
      </w:r>
    </w:p>
  </w:endnote>
  <w:endnote w:type="continuationSeparator" w:id="0">
    <w:p w:rsidR="004D1287" w:rsidRDefault="004D1287" w:rsidP="004D128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/>
    </w:tblPr>
    <w:tblGrid>
      <w:gridCol w:w="6577"/>
      <w:gridCol w:w="3289"/>
    </w:tblGrid>
    <w:tr w:rsidR="004D1287"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  <w:left w:w="0" w:type="dxa"/>
            <w:bottom w:w="0" w:type="dxa"/>
            <w:right w:w="0" w:type="dxa"/>
          </w:tcMar>
          <w:hideMark/>
        </w:tcPr>
        <w:p w:rsidR="004D1287" w:rsidRDefault="007066AB">
          <w:pPr>
            <w:rPr>
              <w:sz w:val="18"/>
            </w:rPr>
          </w:pPr>
          <w:r>
            <w:rPr>
              <w:sz w:val="18"/>
            </w:rPr>
            <w:t>Id: F483B863-50E1-45DA-8E6C-2DBD4DA0A054. Podpisany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  <w:left w:w="0" w:type="dxa"/>
            <w:bottom w:w="0" w:type="dxa"/>
            <w:right w:w="0" w:type="dxa"/>
          </w:tcMar>
          <w:hideMark/>
        </w:tcPr>
        <w:p w:rsidR="004D1287" w:rsidRDefault="007066AB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 w:rsidR="004D1287"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>
            <w:rPr>
              <w:noProof/>
              <w:sz w:val="18"/>
            </w:rPr>
            <w:t>2</w:t>
          </w:r>
          <w:r w:rsidR="004D1287">
            <w:rPr>
              <w:sz w:val="18"/>
            </w:rPr>
            <w:fldChar w:fldCharType="end"/>
          </w:r>
        </w:p>
      </w:tc>
    </w:tr>
  </w:tbl>
  <w:p w:rsidR="004D1287" w:rsidRDefault="004D1287">
    <w:pPr>
      <w:rPr>
        <w:sz w:val="18"/>
      </w:rPr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/>
    </w:tblPr>
    <w:tblGrid>
      <w:gridCol w:w="6577"/>
      <w:gridCol w:w="3289"/>
    </w:tblGrid>
    <w:tr w:rsidR="004D1287"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  <w:left w:w="0" w:type="dxa"/>
            <w:bottom w:w="0" w:type="dxa"/>
            <w:right w:w="0" w:type="dxa"/>
          </w:tcMar>
          <w:hideMark/>
        </w:tcPr>
        <w:p w:rsidR="004D1287" w:rsidRDefault="007066AB">
          <w:pPr>
            <w:rPr>
              <w:sz w:val="18"/>
            </w:rPr>
          </w:pPr>
          <w:r>
            <w:rPr>
              <w:sz w:val="18"/>
            </w:rPr>
            <w:t>Id: F483B863-50E1-45DA-8E6C-2DBD4DA0A054. Podpisany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  <w:left w:w="0" w:type="dxa"/>
            <w:bottom w:w="0" w:type="dxa"/>
            <w:right w:w="0" w:type="dxa"/>
          </w:tcMar>
          <w:hideMark/>
        </w:tcPr>
        <w:p w:rsidR="004D1287" w:rsidRDefault="007066AB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 w:rsidR="004D1287"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>
            <w:rPr>
              <w:noProof/>
              <w:sz w:val="18"/>
            </w:rPr>
            <w:t>3</w:t>
          </w:r>
          <w:r w:rsidR="004D1287">
            <w:rPr>
              <w:sz w:val="18"/>
            </w:rPr>
            <w:fldChar w:fldCharType="end"/>
          </w:r>
        </w:p>
      </w:tc>
    </w:tr>
  </w:tbl>
  <w:p w:rsidR="004D1287" w:rsidRDefault="004D1287">
    <w:pPr>
      <w:rPr>
        <w:sz w:val="18"/>
      </w:rPr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/>
    </w:tblPr>
    <w:tblGrid>
      <w:gridCol w:w="6577"/>
      <w:gridCol w:w="3289"/>
    </w:tblGrid>
    <w:tr w:rsidR="004D1287"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  <w:left w:w="0" w:type="dxa"/>
            <w:bottom w:w="0" w:type="dxa"/>
            <w:right w:w="0" w:type="dxa"/>
          </w:tcMar>
          <w:hideMark/>
        </w:tcPr>
        <w:p w:rsidR="004D1287" w:rsidRDefault="007066AB">
          <w:pPr>
            <w:rPr>
              <w:sz w:val="18"/>
            </w:rPr>
          </w:pPr>
          <w:r>
            <w:rPr>
              <w:sz w:val="18"/>
            </w:rPr>
            <w:t>Id: F483B863-50E1-45DA-8E6C-2DBD4DA0A054. Podpisany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  <w:left w:w="0" w:type="dxa"/>
            <w:bottom w:w="0" w:type="dxa"/>
            <w:right w:w="0" w:type="dxa"/>
          </w:tcMar>
          <w:hideMark/>
        </w:tcPr>
        <w:p w:rsidR="004D1287" w:rsidRDefault="007066AB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 w:rsidR="004D1287"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>
            <w:rPr>
              <w:noProof/>
              <w:sz w:val="18"/>
            </w:rPr>
            <w:t>4</w:t>
          </w:r>
          <w:r w:rsidR="004D1287">
            <w:rPr>
              <w:sz w:val="18"/>
            </w:rPr>
            <w:fldChar w:fldCharType="end"/>
          </w:r>
        </w:p>
      </w:tc>
    </w:tr>
  </w:tbl>
  <w:p w:rsidR="004D1287" w:rsidRDefault="004D1287">
    <w:pPr>
      <w:rPr>
        <w:sz w:val="18"/>
      </w:rPr>
    </w:pPr>
  </w:p>
</w:ftr>
</file>

<file path=word/footer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/>
    </w:tblPr>
    <w:tblGrid>
      <w:gridCol w:w="6577"/>
      <w:gridCol w:w="3289"/>
    </w:tblGrid>
    <w:tr w:rsidR="004D1287"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  <w:left w:w="0" w:type="dxa"/>
            <w:bottom w:w="0" w:type="dxa"/>
            <w:right w:w="0" w:type="dxa"/>
          </w:tcMar>
          <w:hideMark/>
        </w:tcPr>
        <w:p w:rsidR="004D1287" w:rsidRDefault="007066AB">
          <w:pPr>
            <w:rPr>
              <w:sz w:val="18"/>
            </w:rPr>
          </w:pPr>
          <w:r>
            <w:rPr>
              <w:sz w:val="18"/>
            </w:rPr>
            <w:t>Id: F483B863-50E1-45DA-8E6C-2DBD4DA0A054. Podpisany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  <w:left w:w="0" w:type="dxa"/>
            <w:bottom w:w="0" w:type="dxa"/>
            <w:right w:w="0" w:type="dxa"/>
          </w:tcMar>
          <w:hideMark/>
        </w:tcPr>
        <w:p w:rsidR="004D1287" w:rsidRDefault="007066AB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 w:rsidR="004D1287"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>
            <w:rPr>
              <w:noProof/>
              <w:sz w:val="18"/>
            </w:rPr>
            <w:t>5</w:t>
          </w:r>
          <w:r w:rsidR="004D1287">
            <w:rPr>
              <w:sz w:val="18"/>
            </w:rPr>
            <w:fldChar w:fldCharType="end"/>
          </w:r>
        </w:p>
      </w:tc>
    </w:tr>
  </w:tbl>
  <w:p w:rsidR="004D1287" w:rsidRDefault="004D1287">
    <w:pPr>
      <w:rPr>
        <w:sz w:val="18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D1287" w:rsidRDefault="004D1287" w:rsidP="004D1287">
      <w:r>
        <w:separator/>
      </w:r>
    </w:p>
  </w:footnote>
  <w:footnote w:type="continuationSeparator" w:id="0">
    <w:p w:rsidR="004D1287" w:rsidRDefault="004D1287" w:rsidP="004D1287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3F01"/>
  <w:defaultTabStop w:val="720"/>
  <w:hyphenationZone w:val="425"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77B3E"/>
    <w:rsid w:val="004D1287"/>
    <w:rsid w:val="007066AB"/>
    <w:rsid w:val="00A77B3E"/>
    <w:rsid w:val="00CA2A5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4D1287"/>
    <w:rPr>
      <w:rFonts w:ascii="Arial" w:eastAsia="Arial" w:hAnsi="Arial" w:cs="Arial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rsid w:val="00EF7B96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file:///C:\Users\mgrabowska\Downloads\Zalacznik1.pdf" TargetMode="Externa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2.xml"/><Relationship Id="rId12" Type="http://schemas.openxmlformats.org/officeDocument/2006/relationships/footer" Target="footer4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11" Type="http://schemas.openxmlformats.org/officeDocument/2006/relationships/hyperlink" Target="file:///C:\Users\mgrabowska\Downloads\Zalacznik3.pdf" TargetMode="External"/><Relationship Id="rId5" Type="http://schemas.openxmlformats.org/officeDocument/2006/relationships/endnotes" Target="endnotes.xml"/><Relationship Id="rId10" Type="http://schemas.openxmlformats.org/officeDocument/2006/relationships/hyperlink" Target="file:///C:\Users\mgrabowska\Downloads\Zalacznik2.pdf" TargetMode="External"/><Relationship Id="rId4" Type="http://schemas.openxmlformats.org/officeDocument/2006/relationships/footnotes" Target="footnotes.xml"/><Relationship Id="rId9" Type="http://schemas.openxmlformats.org/officeDocument/2006/relationships/footer" Target="footer3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577</Words>
  <Characters>3205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w Bytomiu</Company>
  <LinksUpToDate>false</LinksUpToDate>
  <CharactersWithSpaces>3775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LXXXVII/1095/23 z dnia 18 grudnia 2023 r.</dc:title>
  <dc:subject>w sprawie wieloletniej prognozy finansowej miasta Bytomia na lata 2024-2046</dc:subject>
  <dc:creator>masocha</dc:creator>
  <cp:lastModifiedBy>Małgorzata Grabowska</cp:lastModifiedBy>
  <cp:revision>2</cp:revision>
  <dcterms:created xsi:type="dcterms:W3CDTF">2024-07-10T07:12:00Z</dcterms:created>
  <dcterms:modified xsi:type="dcterms:W3CDTF">2024-07-10T07:12:00Z</dcterms:modified>
  <cp:category>Akt prawny</cp:category>
</cp:coreProperties>
</file>