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III/35/24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czerwca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LXXXVII/1095/23 Rady Miejskiej w Bytomiu w sprawie wieloletniej prognozy finansowej miasta Bytomia na lata 2024 – 2046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póżn.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ustawy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LXXXVII/1095/23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wieloletniej prognozy finansowej miasta Bytomia na lata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2046: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 „4) sposób finansowania deficytu;”,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„Wykaz przedsięwzięć wieloletnich” dodaje się pozycję nr 1.3.1.33 oraz zmienia się pozycję nr: 1.3.2.21 –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 jak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III/35/24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24 czerwca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objaśnienia do zmian w wieloletniej prognozie finansowej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nr LXXXVII/1095/23 Rady Miejskiej w Bytomiu z dnia 18 grudnia 2023 r. w sprawie wieloletniej prognozy finansowej miasta Bytomia na lata 2024–2046 w załączniku nr 2 pn. „Wykaz przedsięwzięć wieloletnich” dokonuje się następujących zmian: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dodaje się pozycję nr 1.3.1.33 pn. „Utrzymanie porządku i czystości w nieruchomościach wchodzących w skład zasobu gminy Bytom zarządzanych przez Bytomskie Mieszkania". Celem zapewnienia systematyczności wykonywanych usług, zasadnym jest wprowadzenie zadania do wieloletniej prognozy finansowej miasta Bytomia. Działanie to pozwoli na przeprowadzenie procedury przetargowej w terminach umożliwiających ciągłość realizacji usług. Łączne nakłady finansowe zadania planowanego do realizacji przez Bytomskie Mieszkania w latach 2024-2026 wyniosą 1.933.334 zł, w tym w roku bieżącym 333.334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– zmienia się pozycję nr 1.3.2.21 pn. „Mobilna Metropolia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Budowa Centrów Przesiadkowych na terenie gminy Bytom". Zwiększa się wkład własny gminy o kwotę 18.472.624 zł w związku z planowanym aplikowaniem o środki w wysokości 41.320.339 zł w ramach programu FEnIKS 2021-2027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Priorytet III Transport miejski: Wspieranie zrównoważonej multimedialnej mobilności miejskiej jako elementu transformacji w kierunku gospodarki zero emisyjnej. Projekt zakłada budowę trzech centrów przesiadkowych na terenie miasta Bytomia w rejonie węzłowych przystanków komunikacji publicznej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Bytom Stroszek, Bytom Karb i Bytom Centrum. Celem przedsięwzięcia objętego Planem Mobilności Miejskiej jest podjęcie przez gminę Bytom działań na rzecz zmniejszenia ilości podróży transportem indywidualnym-samochodowym, poprzez zwiększenie atrakcyjności transportu publicznego</w:t>
      </w:r>
      <w:r>
        <w:rPr>
          <w:rFonts w:eastAsia="Times New Roman" w:cs="Times New Roman"/>
          <w:szCs w:val="20"/>
        </w:rPr>
        <w:t xml:space="preserve"> –</w:t>
      </w:r>
      <w:r>
        <w:rPr>
          <w:rFonts w:eastAsia="Times New Roman" w:cs="Times New Roman"/>
          <w:szCs w:val="20"/>
        </w:rPr>
        <w:t xml:space="preserve"> zbiorowego różnych modalności. Przewiduje się realizację projektu przez Miejski Zarząd Dróg i Mostów do roku 2028.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DE4FED6B-EC4F-489D-9A6D-E369DC9DB834.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DE4FED6B-EC4F-489D-9A6D-E369DC9DB834.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DE4FED6B-EC4F-489D-9A6D-E369DC9DB834.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III/35/24 z dnia 24 czerwca 2024 r.</dc:title>
  <dc:subject>zmieniająca uchwałę nr LXXXVII/1095/23 Rady Miejskiej w^Bytomiu w^sprawie wieloletniej prognozy finansowej miasta Bytomia na lata 2024^–^2046</dc:subject>
  <dc:creator>masocha</dc:creator>
  <cp:lastModifiedBy>masocha</cp:lastModifiedBy>
  <cp:revision>1</cp:revision>
  <dcterms:created xsi:type="dcterms:W3CDTF">2024-06-24T09:51:02Z</dcterms:created>
  <dcterms:modified xsi:type="dcterms:W3CDTF">2024-06-24T09:51:02Z</dcterms:modified>
  <cp:category>Akt prawny</cp:category>
</cp:coreProperties>
</file>