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1A1" w:rsidRDefault="00FE11A1" w:rsidP="00FE11A1">
      <w:pPr>
        <w:pStyle w:val="NormalnyWeb"/>
        <w:spacing w:before="0" w:after="0"/>
        <w:jc w:val="both"/>
        <w:textAlignment w:val="baseline"/>
        <w:rPr>
          <w:rFonts w:ascii="Arial" w:hAnsi="Arial" w:cs="Arial"/>
          <w:color w:val="414141"/>
        </w:rPr>
      </w:pPr>
    </w:p>
    <w:p w:rsidR="00FE11A1" w:rsidRPr="001A6C2B" w:rsidRDefault="00FE11A1" w:rsidP="0035574B">
      <w:pPr>
        <w:pStyle w:val="NormalnyWeb"/>
        <w:spacing w:before="0" w:after="0"/>
        <w:jc w:val="both"/>
        <w:textAlignment w:val="baseline"/>
        <w:rPr>
          <w:rFonts w:ascii="Arial" w:hAnsi="Arial" w:cs="Arial"/>
          <w:b/>
          <w:color w:val="414141"/>
        </w:rPr>
      </w:pPr>
      <w:r w:rsidRPr="001A6C2B">
        <w:rPr>
          <w:rFonts w:ascii="Arial" w:hAnsi="Arial" w:cs="Arial"/>
          <w:b/>
          <w:bCs/>
          <w:color w:val="000000"/>
        </w:rPr>
        <w:t xml:space="preserve">Informacja o wygaszaniu  decyzji o rejestracji pojazdów wydanych przed dniem 14 marca 2005 r. </w:t>
      </w:r>
    </w:p>
    <w:p w:rsidR="00FE11A1" w:rsidRPr="001A6C2B" w:rsidRDefault="00FE11A1" w:rsidP="0035574B">
      <w:pPr>
        <w:pStyle w:val="NormalnyWeb"/>
        <w:spacing w:before="0" w:after="0"/>
        <w:jc w:val="both"/>
        <w:textAlignment w:val="baseline"/>
        <w:rPr>
          <w:rFonts w:ascii="Arial" w:hAnsi="Arial" w:cs="Arial"/>
          <w:color w:val="414141"/>
        </w:rPr>
      </w:pPr>
      <w:r w:rsidRPr="001A6C2B">
        <w:rPr>
          <w:rFonts w:ascii="Arial" w:hAnsi="Arial" w:cs="Arial"/>
          <w:color w:val="414141"/>
        </w:rPr>
        <w:t>Uprzejmie informujemy, że w związku z wejściem w życie art. 17 ustawy z dnia 7 lipca 2023 r. o zmianie niektórych ustaw w celu ograniczania niektórych skutków kradzieży tożsamości, z dniem 10 czerwca 2024 r. wyga</w:t>
      </w:r>
      <w:r w:rsidR="00E91C68">
        <w:rPr>
          <w:rFonts w:ascii="Arial" w:hAnsi="Arial" w:cs="Arial"/>
          <w:color w:val="414141"/>
        </w:rPr>
        <w:t>sły</w:t>
      </w:r>
      <w:r w:rsidRPr="001A6C2B">
        <w:rPr>
          <w:rFonts w:ascii="Arial" w:hAnsi="Arial" w:cs="Arial"/>
          <w:color w:val="414141"/>
        </w:rPr>
        <w:t xml:space="preserve"> decyzje o rejestracji pojazdów wydane </w:t>
      </w:r>
      <w:r w:rsidRPr="001A6C2B">
        <w:rPr>
          <w:rStyle w:val="Pogrubienie"/>
          <w:rFonts w:ascii="Arial" w:hAnsi="Arial" w:cs="Arial"/>
          <w:color w:val="414141"/>
          <w:bdr w:val="none" w:sz="0" w:space="0" w:color="auto" w:frame="1"/>
        </w:rPr>
        <w:t>przed dniem 14 marca 2005 r.</w:t>
      </w:r>
    </w:p>
    <w:p w:rsidR="00FE11A1" w:rsidRPr="001A6C2B" w:rsidRDefault="00FE11A1" w:rsidP="0035574B">
      <w:pPr>
        <w:pStyle w:val="NormalnyWeb"/>
        <w:spacing w:before="0" w:after="0"/>
        <w:jc w:val="both"/>
        <w:textAlignment w:val="baseline"/>
        <w:rPr>
          <w:rFonts w:ascii="Arial" w:hAnsi="Arial" w:cs="Arial"/>
          <w:color w:val="414141"/>
        </w:rPr>
      </w:pPr>
      <w:r w:rsidRPr="001A6C2B">
        <w:rPr>
          <w:rFonts w:ascii="Arial" w:hAnsi="Arial" w:cs="Arial"/>
          <w:color w:val="414141"/>
        </w:rPr>
        <w:t>Decyzje dotyczą pojazdów, które nie posiadają </w:t>
      </w:r>
      <w:r w:rsidRPr="001A6C2B">
        <w:rPr>
          <w:rStyle w:val="Pogrubienie"/>
          <w:rFonts w:ascii="Arial" w:hAnsi="Arial" w:cs="Arial"/>
          <w:color w:val="414141"/>
          <w:bdr w:val="none" w:sz="0" w:space="0" w:color="auto" w:frame="1"/>
        </w:rPr>
        <w:t>ważnego okresowego badania technicznego</w:t>
      </w:r>
      <w:r w:rsidRPr="001A6C2B">
        <w:rPr>
          <w:rFonts w:ascii="Arial" w:hAnsi="Arial" w:cs="Arial"/>
          <w:color w:val="414141"/>
        </w:rPr>
        <w:t>, a których posiadacze/właściciele </w:t>
      </w:r>
      <w:r w:rsidRPr="001A6C2B">
        <w:rPr>
          <w:rStyle w:val="Pogrubienie"/>
          <w:rFonts w:ascii="Arial" w:hAnsi="Arial" w:cs="Arial"/>
          <w:color w:val="414141"/>
          <w:bdr w:val="none" w:sz="0" w:space="0" w:color="auto" w:frame="1"/>
        </w:rPr>
        <w:t xml:space="preserve">nie dopełnili obowiązku zawarcia umowy obowiązkowego ubezpieczenia odpowiedzialności cywilnej </w:t>
      </w:r>
      <w:r w:rsidR="0078506B">
        <w:rPr>
          <w:rStyle w:val="Pogrubienie"/>
          <w:rFonts w:ascii="Arial" w:hAnsi="Arial" w:cs="Arial"/>
          <w:color w:val="414141"/>
          <w:bdr w:val="none" w:sz="0" w:space="0" w:color="auto" w:frame="1"/>
        </w:rPr>
        <w:t>dla</w:t>
      </w:r>
      <w:r w:rsidRPr="001A6C2B">
        <w:rPr>
          <w:rStyle w:val="Pogrubienie"/>
          <w:rFonts w:ascii="Arial" w:hAnsi="Arial" w:cs="Arial"/>
          <w:color w:val="414141"/>
          <w:bdr w:val="none" w:sz="0" w:space="0" w:color="auto" w:frame="1"/>
        </w:rPr>
        <w:t xml:space="preserve"> pojazd</w:t>
      </w:r>
      <w:r w:rsidR="0078506B">
        <w:rPr>
          <w:rStyle w:val="Pogrubienie"/>
          <w:rFonts w:ascii="Arial" w:hAnsi="Arial" w:cs="Arial"/>
          <w:color w:val="414141"/>
          <w:bdr w:val="none" w:sz="0" w:space="0" w:color="auto" w:frame="1"/>
        </w:rPr>
        <w:t>u</w:t>
      </w:r>
      <w:r w:rsidRPr="001A6C2B">
        <w:rPr>
          <w:rStyle w:val="Pogrubienie"/>
          <w:rFonts w:ascii="Arial" w:hAnsi="Arial" w:cs="Arial"/>
          <w:color w:val="414141"/>
          <w:bdr w:val="none" w:sz="0" w:space="0" w:color="auto" w:frame="1"/>
        </w:rPr>
        <w:t xml:space="preserve"> mechaniczn</w:t>
      </w:r>
      <w:r w:rsidR="0078506B">
        <w:rPr>
          <w:rStyle w:val="Pogrubienie"/>
          <w:rFonts w:ascii="Arial" w:hAnsi="Arial" w:cs="Arial"/>
          <w:color w:val="414141"/>
          <w:bdr w:val="none" w:sz="0" w:space="0" w:color="auto" w:frame="1"/>
        </w:rPr>
        <w:t>ego</w:t>
      </w:r>
      <w:r w:rsidRPr="001A6C2B">
        <w:rPr>
          <w:rStyle w:val="Pogrubienie"/>
          <w:rFonts w:ascii="Arial" w:hAnsi="Arial" w:cs="Arial"/>
          <w:color w:val="414141"/>
          <w:bdr w:val="none" w:sz="0" w:space="0" w:color="auto" w:frame="1"/>
        </w:rPr>
        <w:t>,</w:t>
      </w:r>
      <w:r w:rsidRPr="001A6C2B">
        <w:rPr>
          <w:rFonts w:ascii="Arial" w:hAnsi="Arial" w:cs="Arial"/>
          <w:color w:val="414141"/>
        </w:rPr>
        <w:t> jeżeli pojazd im podlega, przez okres dłuższy niż 10 lat, przypadający bezpośrednio przed dniem wejścia w życie ustawy.</w:t>
      </w:r>
    </w:p>
    <w:p w:rsidR="00FE11A1" w:rsidRPr="001A6C2B" w:rsidRDefault="00FE11A1" w:rsidP="0035574B">
      <w:pPr>
        <w:pStyle w:val="NormalnyWeb"/>
        <w:textAlignment w:val="baseline"/>
        <w:rPr>
          <w:rFonts w:ascii="Arial" w:hAnsi="Arial" w:cs="Arial"/>
          <w:color w:val="414141"/>
        </w:rPr>
      </w:pPr>
      <w:r w:rsidRPr="001A6C2B">
        <w:rPr>
          <w:rFonts w:ascii="Arial" w:hAnsi="Arial" w:cs="Arial"/>
          <w:color w:val="414141"/>
        </w:rPr>
        <w:t xml:space="preserve">Pojazdy mogą podlegać powtórnej rejestracji, po spełnieniu warunków </w:t>
      </w:r>
      <w:r w:rsidR="0035574B">
        <w:rPr>
          <w:rFonts w:ascii="Arial" w:hAnsi="Arial" w:cs="Arial"/>
          <w:color w:val="414141"/>
        </w:rPr>
        <w:t>do</w:t>
      </w:r>
      <w:r w:rsidRPr="001A6C2B">
        <w:rPr>
          <w:rFonts w:ascii="Arial" w:hAnsi="Arial" w:cs="Arial"/>
          <w:color w:val="414141"/>
        </w:rPr>
        <w:t>puszczenia do ruchu.</w:t>
      </w:r>
    </w:p>
    <w:p w:rsidR="005A0E09" w:rsidRPr="001A6C2B" w:rsidRDefault="00FE11A1" w:rsidP="0035574B">
      <w:pPr>
        <w:rPr>
          <w:rFonts w:ascii="Arial" w:hAnsi="Arial" w:cs="Arial"/>
          <w:color w:val="414141"/>
          <w:sz w:val="24"/>
          <w:szCs w:val="24"/>
        </w:rPr>
      </w:pPr>
      <w:r w:rsidRPr="001A6C2B">
        <w:rPr>
          <w:rFonts w:ascii="Arial" w:hAnsi="Arial" w:cs="Arial"/>
          <w:color w:val="414141"/>
          <w:sz w:val="24"/>
          <w:szCs w:val="24"/>
        </w:rPr>
        <w:t>Przepis</w:t>
      </w:r>
      <w:r w:rsidR="0035574B">
        <w:rPr>
          <w:rFonts w:ascii="Arial" w:hAnsi="Arial" w:cs="Arial"/>
          <w:color w:val="414141"/>
          <w:sz w:val="24"/>
          <w:szCs w:val="24"/>
        </w:rPr>
        <w:t>u</w:t>
      </w:r>
      <w:r w:rsidR="00E91C68">
        <w:rPr>
          <w:rFonts w:ascii="Arial" w:hAnsi="Arial" w:cs="Arial"/>
          <w:color w:val="414141"/>
          <w:sz w:val="24"/>
          <w:szCs w:val="24"/>
        </w:rPr>
        <w:t>,</w:t>
      </w:r>
      <w:r w:rsidRPr="001A6C2B">
        <w:rPr>
          <w:rFonts w:ascii="Arial" w:hAnsi="Arial" w:cs="Arial"/>
          <w:color w:val="414141"/>
          <w:sz w:val="24"/>
          <w:szCs w:val="24"/>
        </w:rPr>
        <w:t xml:space="preserve"> o którym mowa powyżej nie</w:t>
      </w:r>
      <w:r w:rsidR="0035574B">
        <w:rPr>
          <w:rFonts w:ascii="Arial" w:hAnsi="Arial" w:cs="Arial"/>
          <w:color w:val="414141"/>
          <w:sz w:val="24"/>
          <w:szCs w:val="24"/>
        </w:rPr>
        <w:t xml:space="preserve"> stosuje się </w:t>
      </w:r>
      <w:r w:rsidRPr="001A6C2B">
        <w:rPr>
          <w:rFonts w:ascii="Arial" w:hAnsi="Arial" w:cs="Arial"/>
          <w:color w:val="414141"/>
          <w:sz w:val="24"/>
          <w:szCs w:val="24"/>
        </w:rPr>
        <w:t>do pojazdów zabytkowych oraz pojazdów wolnobieżnych.</w:t>
      </w:r>
    </w:p>
    <w:p w:rsidR="001A6C2B" w:rsidRDefault="001A6C2B" w:rsidP="0035574B">
      <w:pPr>
        <w:rPr>
          <w:rFonts w:ascii="Arial" w:hAnsi="Arial" w:cs="Arial"/>
          <w:sz w:val="24"/>
          <w:szCs w:val="24"/>
        </w:rPr>
      </w:pPr>
    </w:p>
    <w:p w:rsidR="00FE11A1" w:rsidRPr="00FE11A1" w:rsidRDefault="00282FE0" w:rsidP="0035574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Obwieszczenie oraz w</w:t>
      </w:r>
      <w:r w:rsidR="00FE11A1" w:rsidRPr="00FE11A1">
        <w:rPr>
          <w:rFonts w:ascii="Arial" w:hAnsi="Arial" w:cs="Arial"/>
          <w:sz w:val="24"/>
          <w:szCs w:val="24"/>
        </w:rPr>
        <w:t xml:space="preserve">ykaz pojazdów, dla których </w:t>
      </w:r>
      <w:r w:rsidR="00E91C68">
        <w:rPr>
          <w:rFonts w:ascii="Arial" w:hAnsi="Arial" w:cs="Arial"/>
          <w:sz w:val="24"/>
          <w:szCs w:val="24"/>
        </w:rPr>
        <w:t xml:space="preserve">wygaszone zostały decyzje </w:t>
      </w:r>
      <w:r w:rsidR="00793860">
        <w:rPr>
          <w:rFonts w:ascii="Arial" w:hAnsi="Arial" w:cs="Arial"/>
          <w:sz w:val="24"/>
          <w:szCs w:val="24"/>
        </w:rPr>
        <w:br/>
      </w:r>
      <w:r w:rsidR="00E91C68">
        <w:rPr>
          <w:rFonts w:ascii="Arial" w:hAnsi="Arial" w:cs="Arial"/>
          <w:sz w:val="24"/>
          <w:szCs w:val="24"/>
        </w:rPr>
        <w:t xml:space="preserve">o </w:t>
      </w:r>
      <w:r w:rsidR="00FE11A1" w:rsidRPr="00FE11A1">
        <w:rPr>
          <w:rFonts w:ascii="Arial" w:hAnsi="Arial" w:cs="Arial"/>
          <w:sz w:val="24"/>
          <w:szCs w:val="24"/>
        </w:rPr>
        <w:t xml:space="preserve"> rejestracji pojazdów</w:t>
      </w:r>
      <w:r w:rsidR="00793860">
        <w:rPr>
          <w:rFonts w:ascii="Arial" w:hAnsi="Arial" w:cs="Arial"/>
          <w:sz w:val="24"/>
          <w:szCs w:val="24"/>
        </w:rPr>
        <w:t xml:space="preserve"> znajduje się </w:t>
      </w:r>
      <w:r>
        <w:rPr>
          <w:rFonts w:ascii="Arial" w:hAnsi="Arial" w:cs="Arial"/>
          <w:sz w:val="24"/>
          <w:szCs w:val="24"/>
        </w:rPr>
        <w:t>w załącznik</w:t>
      </w:r>
      <w:r w:rsidR="0078506B">
        <w:rPr>
          <w:rFonts w:ascii="Arial" w:hAnsi="Arial" w:cs="Arial"/>
          <w:sz w:val="24"/>
          <w:szCs w:val="24"/>
        </w:rPr>
        <w:t>ach</w:t>
      </w:r>
      <w:r w:rsidR="00793860">
        <w:rPr>
          <w:rFonts w:ascii="Arial" w:hAnsi="Arial" w:cs="Arial"/>
          <w:sz w:val="24"/>
          <w:szCs w:val="24"/>
        </w:rPr>
        <w:t>.</w:t>
      </w:r>
    </w:p>
    <w:p w:rsidR="00FE11A1" w:rsidRPr="00FE11A1" w:rsidRDefault="00FE11A1" w:rsidP="0035574B">
      <w:pPr>
        <w:rPr>
          <w:rFonts w:ascii="Arial" w:hAnsi="Arial" w:cs="Arial"/>
          <w:sz w:val="24"/>
          <w:szCs w:val="24"/>
        </w:rPr>
      </w:pPr>
    </w:p>
    <w:sectPr w:rsidR="00FE11A1" w:rsidRPr="00FE11A1" w:rsidSect="00695B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defaultTabStop w:val="708"/>
  <w:hyphenationZone w:val="425"/>
  <w:characterSpacingControl w:val="doNotCompress"/>
  <w:compat/>
  <w:rsids>
    <w:rsidRoot w:val="00FE11A1"/>
    <w:rsid w:val="000C512A"/>
    <w:rsid w:val="001A6C2B"/>
    <w:rsid w:val="00282FE0"/>
    <w:rsid w:val="002B0D57"/>
    <w:rsid w:val="00335D64"/>
    <w:rsid w:val="0035574B"/>
    <w:rsid w:val="004D4419"/>
    <w:rsid w:val="00695BC1"/>
    <w:rsid w:val="006C796D"/>
    <w:rsid w:val="006F6FA9"/>
    <w:rsid w:val="0078506B"/>
    <w:rsid w:val="00793860"/>
    <w:rsid w:val="009568C5"/>
    <w:rsid w:val="00B32372"/>
    <w:rsid w:val="00CE1F1B"/>
    <w:rsid w:val="00D50918"/>
    <w:rsid w:val="00E91C68"/>
    <w:rsid w:val="00FE11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5BC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FE11A1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E11A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726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151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abeck</dc:creator>
  <cp:lastModifiedBy>efurman</cp:lastModifiedBy>
  <cp:revision>3</cp:revision>
  <cp:lastPrinted>2024-04-22T07:04:00Z</cp:lastPrinted>
  <dcterms:created xsi:type="dcterms:W3CDTF">2024-06-21T11:52:00Z</dcterms:created>
  <dcterms:modified xsi:type="dcterms:W3CDTF">2024-06-25T06:15:00Z</dcterms:modified>
</cp:coreProperties>
</file>