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II/22/24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wynagrodzenia dla Prezydenta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 107)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2008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pracownikach samorządowych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530) oraz 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Rozporządzenia 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wynagradzania pracowników samorządowych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1960),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Ustalić wynagrodzenie miesięczne brutto dla Prezydenta Miasta Bytomia składające się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następujących składników: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wynagrodzenia zasadniczego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100% maksymalnego poziomu wynagrodzenia zasadniczego określonego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rozporządzenia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wynagradzania pracowników samorządowych dla prezydenta miasta (miasta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prawach powiatu) do 300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tys. mieszkańców,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funkcyjnego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100% maksymalnego poziomu wynagrodzenia zasadniczego określonego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rozporządzenia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wynagradzania pracowników samorządowych dla prezydenta miasta (miasta na prawach powiatu)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tys. mieszkańców,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specjalnego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30% łącznie wynagrodzenia zasadniczego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funkcyjnego.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Prezydentowi przysługuje dodatek za wieloletnią pracę, nagrody jubileuszowe, dodatkowe wynagrodzenie roczne oraz odprawy, których wysokość jest ustalana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podstawie odrębnych przepisów.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LI/695/21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wynagrodzenia Prezydenta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" w:after="2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18 ust. 2 pkt 2 ustawy z dnia 8 marca 1990 r. o samorządzie gminnym (Dz. U. z 202</w:t>
      </w:r>
      <w:r>
        <w:rPr>
          <w:rFonts w:eastAsia="Times New Roman" w:cs="Times New Roman"/>
          <w:szCs w:val="20"/>
        </w:rPr>
        <w:t>4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609</w:t>
      </w:r>
      <w:r>
        <w:rPr>
          <w:rFonts w:eastAsia="Times New Roman" w:cs="Times New Roman"/>
          <w:szCs w:val="20"/>
        </w:rPr>
        <w:t xml:space="preserve">) oraz art. 8 ust. 2 ustawy z dnia 21 listopada 2008 r. o pracownikach samorządowych (Dz. U. z 2022 r. poz. 530) ustalenie wysokości wynagrodzenia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 xml:space="preserve">rezydenta </w:t>
      </w:r>
      <w:r>
        <w:rPr>
          <w:rFonts w:eastAsia="Times New Roman" w:cs="Times New Roman"/>
          <w:szCs w:val="20"/>
        </w:rPr>
        <w:t>m</w:t>
      </w:r>
      <w:r>
        <w:rPr>
          <w:rFonts w:eastAsia="Times New Roman" w:cs="Times New Roman"/>
          <w:szCs w:val="20"/>
        </w:rPr>
        <w:t xml:space="preserve">iasta należy do wyłącznej kompetencji </w:t>
      </w:r>
      <w:r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 xml:space="preserve">ady </w:t>
      </w:r>
      <w:r>
        <w:rPr>
          <w:rFonts w:eastAsia="Times New Roman" w:cs="Times New Roman"/>
          <w:szCs w:val="20"/>
        </w:rPr>
        <w:t>gminy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Zasady wynagradzania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 xml:space="preserve">rezydenta </w:t>
      </w:r>
      <w:r>
        <w:rPr>
          <w:rFonts w:eastAsia="Times New Roman" w:cs="Times New Roman"/>
          <w:szCs w:val="20"/>
        </w:rPr>
        <w:t>m</w:t>
      </w:r>
      <w:r>
        <w:rPr>
          <w:rFonts w:eastAsia="Times New Roman" w:cs="Times New Roman"/>
          <w:szCs w:val="20"/>
        </w:rPr>
        <w:t xml:space="preserve">iasta określa rozporządzenie Rady Ministrów z dnia 25 października 2021 r. w sprawie wynagradzania pracowników samorządowych (Dz. U. z 2021 r. poz. 1960, z późn. zm.). 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 xml:space="preserve">godnie z art. 37 ust. 3 ustawy z dnia 21 listopada 2008 r. o pracownikach samorządowych (Dz. U. z 2022 r. poz. 530) </w:t>
      </w:r>
      <w:r>
        <w:rPr>
          <w:rFonts w:eastAsia="Times New Roman" w:cs="Times New Roman"/>
          <w:szCs w:val="20"/>
        </w:rPr>
        <w:t>m</w:t>
      </w:r>
      <w:r>
        <w:rPr>
          <w:rFonts w:eastAsia="Times New Roman" w:cs="Times New Roman"/>
          <w:szCs w:val="20"/>
        </w:rPr>
        <w:t>aksymalne wynagrodzenie osób, o których mowa w art. 4 ust. 1 pkt 1</w:t>
      </w:r>
      <w:r>
        <w:rPr>
          <w:rFonts w:eastAsia="Times New Roman" w:cs="Times New Roman"/>
          <w:szCs w:val="20"/>
        </w:rPr>
        <w:t xml:space="preserve"> przedmiotowej ustawy</w:t>
      </w:r>
      <w:r>
        <w:rPr>
          <w:rFonts w:eastAsia="Times New Roman" w:cs="Times New Roman"/>
          <w:szCs w:val="20"/>
        </w:rPr>
        <w:t xml:space="preserve"> nie może przekroczyć w okresie miesiąca 11,2-krotności kwoty bazowej określonej w ustawie budżetowej dla osób zajmujących kierownicze stanowiska państwowe na podstawie przepisów </w:t>
      </w:r>
      <w:r>
        <w:rPr>
          <w:rFonts w:eastAsia="Times New Roman" w:cs="Times New Roman"/>
          <w:szCs w:val="20"/>
        </w:rPr>
        <w:t>ustawy</w:t>
      </w:r>
      <w:r>
        <w:rPr>
          <w:rFonts w:eastAsia="Times New Roman" w:cs="Times New Roman"/>
          <w:color w:val="000000"/>
          <w:szCs w:val="2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 xml:space="preserve"> z dnia 23 grudnia 1999 r. o kształtowaniu wynagrodzeń w państwowej sferze budżetowej oraz o zmianie niektórych ustaw (Dz. U. z 202</w:t>
      </w:r>
      <w:r>
        <w:rPr>
          <w:rFonts w:eastAsia="Times New Roman" w:cs="Times New Roman"/>
          <w:color w:val="000000"/>
          <w:szCs w:val="20"/>
          <w:u w:color="000000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 r. poz. </w:t>
      </w:r>
      <w:r>
        <w:rPr>
          <w:rFonts w:eastAsia="Times New Roman" w:cs="Times New Roman"/>
          <w:color w:val="000000"/>
          <w:szCs w:val="20"/>
          <w:u w:color="000000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6</w:t>
      </w:r>
      <w:r>
        <w:rPr>
          <w:rFonts w:eastAsia="Times New Roman" w:cs="Times New Roman"/>
          <w:color w:val="000000"/>
          <w:szCs w:val="20"/>
          <w:u w:color="000000"/>
        </w:rPr>
        <w:t>92</w:t>
      </w:r>
      <w:r>
        <w:rPr>
          <w:rFonts w:eastAsia="Times New Roman" w:cs="Times New Roman"/>
          <w:color w:val="000000"/>
          <w:szCs w:val="20"/>
          <w:u w:color="000000"/>
        </w:rPr>
        <w:t>).</w:t>
      </w:r>
      <w:r>
        <w:rPr>
          <w:rFonts w:eastAsia="Times New Roman" w:cs="Times New Roman"/>
          <w:color w:val="000000"/>
          <w:szCs w:val="20"/>
          <w:u w:color="000000"/>
        </w:rPr>
        <w:t xml:space="preserve"> Z kolei minimalne wynagrodzenie </w:t>
      </w:r>
      <w:r>
        <w:rPr>
          <w:rFonts w:eastAsia="Times New Roman" w:cs="Times New Roman"/>
          <w:color w:val="000000"/>
          <w:szCs w:val="20"/>
          <w:u w:color="000000"/>
        </w:rPr>
        <w:t xml:space="preserve">nie może być niższe niż 80% maksymalnego wynagrodzenia określonego dla poszczególnych stanowisk w przepisach wydanych na podstawie </w:t>
      </w:r>
      <w:r>
        <w:rPr>
          <w:rFonts w:eastAsia="Times New Roman" w:cs="Times New Roman"/>
          <w:color w:val="000000"/>
          <w:szCs w:val="20"/>
          <w:u w:color="000000"/>
        </w:rPr>
        <w:t xml:space="preserve">art. 37 </w:t>
      </w:r>
      <w:r>
        <w:rPr>
          <w:rFonts w:eastAsia="Times New Roman" w:cs="Times New Roman"/>
          <w:color w:val="000000"/>
          <w:szCs w:val="20"/>
          <w:u w:color="000000"/>
        </w:rPr>
        <w:t>ust. 1</w:t>
      </w:r>
      <w:r>
        <w:rPr>
          <w:rFonts w:eastAsia="Times New Roman" w:cs="Times New Roman"/>
          <w:color w:val="000000"/>
          <w:szCs w:val="20"/>
          <w:u w:color="000000"/>
        </w:rPr>
        <w:t xml:space="preserve"> ustawy o pracownikach samorządowych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 xml:space="preserve">ozporządzenie Rady Ministrów z dnia 25 października 2021 r. w sprawie wynagradzania pracowników samorządowych </w:t>
      </w:r>
      <w:r>
        <w:rPr>
          <w:rFonts w:eastAsia="Times New Roman" w:cs="Times New Roman"/>
          <w:szCs w:val="20"/>
        </w:rPr>
        <w:t xml:space="preserve">określa </w:t>
      </w:r>
      <w:r>
        <w:rPr>
          <w:rFonts w:eastAsia="Times New Roman" w:cs="Times New Roman"/>
          <w:color w:val="000000"/>
          <w:szCs w:val="20"/>
          <w:u w:color="000000"/>
        </w:rPr>
        <w:t xml:space="preserve">maksymalne wynagrodzenie zasadnicze </w:t>
      </w:r>
      <w:r>
        <w:rPr>
          <w:rFonts w:eastAsia="Times New Roman" w:cs="Times New Roman"/>
          <w:color w:val="000000"/>
          <w:szCs w:val="20"/>
          <w:u w:color="000000"/>
        </w:rPr>
        <w:t xml:space="preserve">dla prezydenta miasta (miasta na prawach powiatu) do 300 tys. mieszkańców w wysokości </w:t>
      </w:r>
      <w:r>
        <w:rPr>
          <w:rFonts w:eastAsia="Times New Roman" w:cs="Times New Roman"/>
          <w:color w:val="000000"/>
          <w:szCs w:val="20"/>
          <w:u w:color="000000"/>
        </w:rPr>
        <w:t>10 770 zł</w:t>
      </w:r>
      <w:r>
        <w:rPr>
          <w:rFonts w:eastAsia="Times New Roman" w:cs="Times New Roman"/>
          <w:color w:val="000000"/>
          <w:szCs w:val="20"/>
          <w:u w:color="000000"/>
        </w:rPr>
        <w:t xml:space="preserve"> oraz</w:t>
      </w:r>
      <w:r>
        <w:rPr>
          <w:rFonts w:eastAsia="Times New Roman" w:cs="Times New Roman"/>
          <w:color w:val="000000"/>
          <w:szCs w:val="20"/>
          <w:u w:color="000000"/>
        </w:rPr>
        <w:t xml:space="preserve"> maksymalny poziom dodatku funkcyjnego </w:t>
      </w:r>
      <w:r>
        <w:rPr>
          <w:rFonts w:eastAsia="Times New Roman" w:cs="Times New Roman"/>
          <w:color w:val="000000"/>
          <w:szCs w:val="20"/>
          <w:u w:color="000000"/>
        </w:rPr>
        <w:t xml:space="preserve">w </w:t>
      </w:r>
      <w:r>
        <w:rPr>
          <w:rFonts w:eastAsia="Times New Roman" w:cs="Times New Roman"/>
          <w:color w:val="000000"/>
          <w:szCs w:val="20"/>
          <w:u w:color="000000"/>
        </w:rPr>
        <w:t>kwo</w:t>
      </w:r>
      <w:r>
        <w:rPr>
          <w:rFonts w:eastAsia="Times New Roman" w:cs="Times New Roman"/>
          <w:color w:val="000000"/>
          <w:szCs w:val="20"/>
          <w:u w:color="000000"/>
        </w:rPr>
        <w:t>cie</w:t>
      </w:r>
      <w:r>
        <w:rPr>
          <w:rFonts w:eastAsia="Times New Roman" w:cs="Times New Roman"/>
          <w:color w:val="000000"/>
          <w:szCs w:val="20"/>
          <w:u w:color="000000"/>
        </w:rPr>
        <w:t xml:space="preserve"> 3450 zł. Dodatkowo </w:t>
      </w:r>
      <w:r>
        <w:rPr>
          <w:rFonts w:eastAsia="Times New Roman" w:cs="Times New Roman"/>
          <w:color w:val="000000"/>
          <w:szCs w:val="20"/>
          <w:u w:color="000000"/>
        </w:rPr>
        <w:t xml:space="preserve">prezydentowi miasta </w:t>
      </w:r>
      <w:r>
        <w:rPr>
          <w:rFonts w:eastAsia="Times New Roman" w:cs="Times New Roman"/>
          <w:color w:val="000000"/>
          <w:szCs w:val="20"/>
          <w:u w:color="000000"/>
        </w:rPr>
        <w:t>przysługuje dodatek specjalny wynoszący 30% łącznie wynagrodzenia zasadniczego i funkcyjnego, czyli kwota 4266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BFAFE2C2-3C78-44E6-8AED-4FB477189E21.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BFAFE2C2-3C78-44E6-8AED-4FB477189E21.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II/22/24 z dnia 27 maja 2024 r.</dc:title>
  <dc:subject>w sprawie ustalenia wynagrodzenia dla Prezydenta Miasta Bytomia</dc:subject>
  <dc:creator>masocha</dc:creator>
  <cp:lastModifiedBy>masocha</cp:lastModifiedBy>
  <cp:revision>1</cp:revision>
  <dcterms:created xsi:type="dcterms:W3CDTF">2024-05-29T09:46:48Z</dcterms:created>
  <dcterms:modified xsi:type="dcterms:W3CDTF">2024-05-29T09:46:48Z</dcterms:modified>
  <cp:category>Akt prawny</cp:category>
</cp:coreProperties>
</file>