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2.4.0 -->
  <w:body>
    <w:p w:rsidR="00A77B3E">
      <w:pPr>
        <w:spacing w:line="276" w:lineRule="auto"/>
        <w:ind w:left="0"/>
        <w:jc w:val="center"/>
        <w:rPr>
          <w:rFonts w:ascii="Arial" w:eastAsia="Arial" w:hAnsi="Arial" w:cs="Arial"/>
          <w:b/>
          <w:caps/>
          <w:sz w:val="24"/>
        </w:rPr>
      </w:pPr>
      <w:r>
        <w:rPr>
          <w:rFonts w:ascii="Arial" w:eastAsia="Arial" w:hAnsi="Arial" w:cs="Arial"/>
          <w:b/>
          <w:caps/>
          <w:sz w:val="24"/>
        </w:rPr>
        <w:t>Uchwała</w:t>
      </w:r>
      <w:r>
        <w:rPr>
          <w:rFonts w:ascii="Arial" w:eastAsia="Arial" w:hAnsi="Arial" w:cs="Arial"/>
          <w:b/>
          <w:caps/>
          <w:sz w:val="24"/>
        </w:rPr>
        <w:t xml:space="preserve"> Nr II/17/24</w:t>
      </w:r>
      <w:r>
        <w:rPr>
          <w:rFonts w:ascii="Arial" w:eastAsia="Arial" w:hAnsi="Arial" w:cs="Arial"/>
          <w:b/>
          <w:caps/>
          <w:sz w:val="24"/>
        </w:rPr>
        <w:br/>
      </w:r>
      <w:r>
        <w:rPr>
          <w:rFonts w:ascii="Arial" w:eastAsia="Arial" w:hAnsi="Arial" w:cs="Arial"/>
          <w:b/>
          <w:caps/>
          <w:sz w:val="24"/>
        </w:rPr>
        <w:t>Rady Miejskiej w Bytomiu</w:t>
      </w:r>
    </w:p>
    <w:p w:rsidR="00A77B3E">
      <w:pPr>
        <w:spacing w:before="280" w:after="280" w:line="276" w:lineRule="auto"/>
        <w:ind w:left="0"/>
        <w:jc w:val="center"/>
        <w:rPr>
          <w:rFonts w:ascii="Arial" w:eastAsia="Arial" w:hAnsi="Arial" w:cs="Arial"/>
          <w:b/>
          <w:caps/>
          <w:sz w:val="24"/>
        </w:rPr>
      </w:pPr>
      <w:r>
        <w:rPr>
          <w:rFonts w:ascii="Arial" w:eastAsia="Arial" w:hAnsi="Arial" w:cs="Arial"/>
          <w:b w:val="0"/>
          <w:caps w:val="0"/>
          <w:sz w:val="24"/>
        </w:rPr>
        <w:t>z dnia 27 maja 2024 r.</w:t>
      </w:r>
    </w:p>
    <w:p w:rsidR="00A77B3E">
      <w:pPr>
        <w:keepNext/>
        <w:spacing w:before="0" w:after="480" w:line="276" w:lineRule="auto"/>
        <w:ind w:left="0" w:right="0" w:firstLine="0"/>
        <w:jc w:val="center"/>
        <w:rPr>
          <w:rFonts w:ascii="Arial" w:eastAsia="Arial" w:hAnsi="Arial" w:cs="Arial"/>
          <w:b w:val="0"/>
          <w:caps w:val="0"/>
          <w:strike w:val="0"/>
          <w:color w:val="auto"/>
          <w:sz w:val="24"/>
          <w:u w:val="none"/>
        </w:rPr>
      </w:pPr>
      <w:r>
        <w:rPr>
          <w:rFonts w:ascii="Arial" w:eastAsia="Arial" w:hAnsi="Arial" w:cs="Arial"/>
          <w:b/>
          <w:caps w:val="0"/>
          <w:sz w:val="24"/>
        </w:rPr>
        <w:t>w sprawie zwolnień od podatku od nieruchomości w ramach regionalnej pomocy inwestycyjnej na wspieranie inwestycji początkowej i tworzenie nowych miejsc pracy związanych z tą inwestycją na terenie miasta Bytomia</w:t>
      </w:r>
    </w:p>
    <w:p w:rsidR="00A77B3E">
      <w:pPr>
        <w:keepNext w:val="0"/>
        <w:keepLines/>
        <w:spacing w:before="120" w:after="120" w:line="276" w:lineRule="auto"/>
        <w:ind w:left="0" w:right="0" w:firstLine="227"/>
        <w:jc w:val="left"/>
        <w:rPr>
          <w:rFonts w:ascii="Arial" w:eastAsia="Arial" w:hAnsi="Arial" w:cs="Arial"/>
          <w:b w:val="0"/>
          <w:caps w:val="0"/>
          <w:strike w:val="0"/>
          <w:color w:val="auto"/>
          <w:sz w:val="24"/>
          <w:u w:val="none"/>
        </w:rPr>
      </w:pPr>
      <w:r>
        <w:rPr>
          <w:rFonts w:ascii="Arial" w:eastAsia="Arial" w:hAnsi="Arial" w:cs="Arial"/>
          <w:b w:val="0"/>
          <w:caps w:val="0"/>
          <w:strike w:val="0"/>
          <w:color w:val="auto"/>
          <w:sz w:val="24"/>
          <w:u w:val="none"/>
        </w:rPr>
        <w:t>Na podstawie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18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 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8,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40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41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42 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marca 1990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samorządzie gminnym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2024</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609),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7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3 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12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stycznia 1991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podatkach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opłatach lokalnych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70,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późn. zm.),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związku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rozporządzeniem Rady Ministrów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9</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stycznia 2015</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sprawie warunków udzielania zwolnień od podatku od nieruchomości oraz podatku od środków transportowych, stanowiących regionalną pomoc inwestycyjną, pomoc na kulturę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zachowanie dziedzictwa kulturowego, pomoc na infrastrukturę sportową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wielofunkcyjną infrastrukturę rekreacyjną, pomoc na infrastrukturę lokalną, pomoc na rzecz regionalnych portów lotniczych oraz pomoc na rzecz portów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 2022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1387,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późn. zm.) oraz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4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13 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 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20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lipca 2000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ogłaszaniu aktów normatywnych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niektórych innych aktów prawnych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2019</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1461) uchwala się, co następuje:</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1. </w:t>
      </w:r>
      <w:r>
        <w:rPr>
          <w:rFonts w:ascii="Arial" w:eastAsia="Arial" w:hAnsi="Arial" w:cs="Arial"/>
          <w:sz w:val="24"/>
        </w:rPr>
        <w:t>1. </w:t>
      </w:r>
      <w:r>
        <w:rPr>
          <w:rFonts w:ascii="Arial" w:eastAsia="Arial" w:hAnsi="Arial" w:cs="Arial"/>
          <w:b w:val="0"/>
          <w:i w:val="0"/>
          <w:caps w:val="0"/>
          <w:strike w:val="0"/>
          <w:color w:val="auto"/>
          <w:sz w:val="24"/>
          <w:u w:val="none"/>
          <w:vertAlign w:val="baseline"/>
        </w:rPr>
        <w:t>Zwalnia się od podatku od nieruchomości, zajęte na prowadzenie działalności gospodarczej na terenie miasta Bytomia, nowo wybudowane budynki lub ich części, nowo wybudowane budowle lub ich części w</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związku z</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realizacją inwestycji początkowej w</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rozumieniu §</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3</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pkt</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10</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rozporządzenia Rady Ministrów z</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dnia 9</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stycznia 2015</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r. w</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sprawie warunków udzielania zwolnień z</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podatku od nieruchomości oraz podatku od środków transportowych, stanowiących regionalną pomoc inwestycyjną, pomoc na kulturę i</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zachowanie dziedzictwa kulturowego, pomoc na infrastrukturę sportową i</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wielofunkcyjną infrastrukturę rekreacyjną, pomoc na infrastrukturę lokalną, pomoc na rzecz regionalnych portów lotniczych oraz pomoc na rzecz portów</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(Dz.</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U.</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z 2022</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r.</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poz.</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1387, z</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późn. zm.), zwanego dalej „rozporządzeniem”, przez przedsiębiorców tworzących w</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jej ramach nowe miejsca pracy. Inwestycja początkowa zwana będzie dalej „inwestycją”.</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Zwolnienie od podatku od nieruchomości,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którym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 przysługuje na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warunkach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zasadach określonych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rozporządzeniu oraz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niniejszej uchwale.</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Za nowo wybudowane budynki lub ich części, nowo wybudowane budowle lub ich części uważa się takie, których budowa została rozpoczęta po dniu zgłoszenia,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którym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5</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uchwały.</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2. </w:t>
      </w:r>
      <w:r>
        <w:rPr>
          <w:rFonts w:ascii="Arial" w:eastAsia="Arial" w:hAnsi="Arial" w:cs="Arial"/>
          <w:b w:val="0"/>
          <w:i w:val="0"/>
          <w:caps w:val="0"/>
          <w:strike w:val="0"/>
          <w:color w:val="000000"/>
          <w:sz w:val="24"/>
          <w:u w:val="none" w:color="000000"/>
          <w:vertAlign w:val="baseline"/>
        </w:rPr>
        <w:t>Zwolnienie,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którym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 przysługuje:</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przez okres 2</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lat,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przypadku zrealizowania – po wejściu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życie niniejszej uchwały – inwestycji, której koszty kwalifikowane wyniosą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mniej niż 200.000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zł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utworzenia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jej wyniku co najmniej 2</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nowych miejsc pracy związanych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tą inwestycją;</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przez okres 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lat,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przypadku zrealizowania – po wejściu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życie niniejszej uchwały – inwestycji, której koszty kwalifikowane wyniosą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mniej niż 600.000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zł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utworzenia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jej wyniku co najmniej 8</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nowych miejsc pracy związanych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tą inwestycją;</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przez okres 4</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lat,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przypadku zrealizowania – po wejściu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życie niniejszej uchwały – inwestycji, której koszty kwalifikowane wyniosą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mniej niż 3.000.000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zł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utworzenia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jej wyniku co najmniej 15</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nowych miejsc pracy związanych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tą inwestycją;</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przez okres 5</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lat,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przypadku zrealizowania – po wejściu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życie niniejszej uchwały – inwestycji, której koszty kwalifikowane wyniosą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mniej niż 10.000.000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zł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utworzenia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jej wyniku co najmniej 30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nowych miejsc pracy związanych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tą inwestycją</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
      <w:tblGrid>
        <w:gridCol w:w="315"/>
        <w:gridCol w:w="9767"/>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Ex>
        <w:trPr>
          <w:trHeight w:hRule="auto" w:val="0"/>
        </w:trPr>
        <w:tc>
          <w:tcPr>
            <w:tcW w:w="315" w:type="dxa"/>
            <w:tcBorders>
              <w:top w:val="nil"/>
              <w:left w:val="nil"/>
              <w:bottom w:val="nil"/>
              <w:right w:val="nil"/>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p>
        </w:tc>
        <w:tc>
          <w:tcPr>
            <w:tcW w:w="9765" w:type="dxa"/>
            <w:tcBorders>
              <w:top w:val="nil"/>
              <w:left w:val="nil"/>
              <w:bottom w:val="nil"/>
              <w:right w:val="nil"/>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t>w przypadku, gdy utworzenie nowych miejsc pracy spowodowało w</w:t>
            </w:r>
            <w:r>
              <w:t> </w:t>
            </w:r>
            <w:r>
              <w:t>przedsiębiorstwie na</w:t>
            </w:r>
            <w:r>
              <w:t> </w:t>
            </w:r>
            <w:r>
              <w:t>terenie miasta Bytomia wzrost zatrudnienia w</w:t>
            </w:r>
            <w:r>
              <w:t> </w:t>
            </w:r>
            <w:r>
              <w:t>porównaniu do średniej z</w:t>
            </w:r>
            <w:r>
              <w:t> </w:t>
            </w:r>
            <w:r>
              <w:t>12</w:t>
            </w:r>
            <w:r>
              <w:t> </w:t>
            </w:r>
            <w:r>
              <w:t>miesięcy poprzedzających utworzenie nowych miejsc pracy.</w:t>
            </w:r>
          </w:p>
        </w:tc>
      </w:tr>
    </w:tbl>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3.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Zwolnienie,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którym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przysługuje od dnia powstania obowiązku podatkowego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przepisami ustawy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12</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stycznia 1991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podatkach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opłatach lokalnych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terminach określonych niniejszą uchwałą –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dłużej jednak niż do końca miesiąca poprzedzającego miesiąc,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którym przekroczono intensywność lub wartość pomocy,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której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rozporządzeniu.</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Zwolnienie,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którym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następuje po złożeniu deklaracji lub informacji na podatek od nieruchomości zawierającej dane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nieruchomościach korzystających ze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zwolnienia od podatku od nieruchomości.</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Zwolnienie,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którym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może przekroczyć należnego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okresie zwolnienia podatku od nieruchomości.</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Do kosztów kwalifikowanych,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6</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rozporządzenia,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zalicza się ceny nabycia prawa własności gruntów lub prawa ich wieczystego użytkowania.</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4. </w:t>
      </w:r>
      <w:r>
        <w:rPr>
          <w:rFonts w:ascii="Arial" w:eastAsia="Arial" w:hAnsi="Arial" w:cs="Arial"/>
          <w:b w:val="0"/>
          <w:i w:val="0"/>
          <w:caps w:val="0"/>
          <w:strike w:val="0"/>
          <w:color w:val="000000"/>
          <w:sz w:val="24"/>
          <w:u w:val="none" w:color="000000"/>
          <w:vertAlign w:val="baseline"/>
        </w:rPr>
        <w:t>Zwolnieniu od podatku od nieruchomości,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którym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podlegają budynki lub ich części oraz budowle lub ich części związane z:</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działalnością handlową;</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działalnością polegającą na prowadzeniu stacji paliw;</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działalnością instytucji finansowych.</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5.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Przedsiębiorca ubiegający się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pomoc na podstawie uchwały zobowiązany jest do zgłoszenia organowi podatkowemu, przed rozpoczęciem prac związanych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inwestycją, zamiaru korzystania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tej pomocy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formie pisemnej - na formularzu określonym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załączniku nr 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do uchwały, wraz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wymaganymi załącznikami, najpóźniej do dnia 31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grudnia 2026</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Zwolnienie od podatku od nieruchomości,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którym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 przysługuje po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spełnieniu łącznie następujących warunków:</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zakończenia inwestycji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okresie nieprzekraczającym 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lat, liczonym od daty zgłoszenia,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którym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utworzenia nowych miejsc pracy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następstwie prac związanych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realizacją inwestycji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obsadzenia każdego stanowiska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okresie 2</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lat od zakończenia inwestycji.</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6.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Po zakończeniu realizacji inwestycji, przedsiębiorca, który dokonał zgłoszenia zamiaru</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korzystania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pomocy zobowiązany jest,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terminie 30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 do dostarczenia Prezydentowi Bytomia:</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dokumentu potwierdzającego zakończenie realizacji inwestycji, tj. prawomocnej decyzji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pozwoleniu na użytkowanie obiektu lub dokumentu potwierdzającego przyjęcie zgłoszenia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zakończeniu budowy;</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dokumentu potwierdzającego posiadanie tytułu prawnego do nieruchomości;</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informacji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rodzaju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wysokości poniesionych kosztów kwalifikowanych, potwierdzonych kserokopiami faktur lub innych dokumentów księgowych (z oryginałami do wglądu);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oświadczenia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miesięcznych kosztach wynagrodzeń poniesionych lub planowanych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związku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utworzeniem miejsc pracy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następstwie inwestycji (dotyczy tylko przedsiębiorców, dla których obliczana jest pomoc na podstawie szacunkowych kosztów płacy);</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5) </w:t>
      </w:r>
      <w:r>
        <w:rPr>
          <w:rFonts w:ascii="Arial" w:eastAsia="Arial" w:hAnsi="Arial" w:cs="Arial"/>
          <w:b w:val="0"/>
          <w:i w:val="0"/>
          <w:caps w:val="0"/>
          <w:strike w:val="0"/>
          <w:color w:val="000000"/>
          <w:sz w:val="24"/>
          <w:u w:val="none" w:color="000000"/>
          <w:vertAlign w:val="baseline"/>
        </w:rPr>
        <w:t>informacji, których zakres oraz formę przekazywania określa rozporządzenie Rady Ministrów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29</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marca 2010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sprawie zakresu informacji przedstawianych przez podmiot ubiegający się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pomoc inną niż de minimis lub pomoc de minimis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rolnictwie lub rybołówstwie (Dz.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nr 53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312,</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późn. zm.), zwane dalej: „rozporządzeniem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sprawie zakresu informacji”;</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6) </w:t>
      </w:r>
      <w:r>
        <w:rPr>
          <w:rFonts w:ascii="Arial" w:eastAsia="Arial" w:hAnsi="Arial" w:cs="Arial"/>
          <w:b w:val="0"/>
          <w:i w:val="0"/>
          <w:caps w:val="0"/>
          <w:strike w:val="0"/>
          <w:color w:val="000000"/>
          <w:sz w:val="24"/>
          <w:u w:val="none" w:color="000000"/>
          <w:vertAlign w:val="baseline"/>
        </w:rPr>
        <w:t>oświadczenia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wartości inwestycji, ustalonej według kosztów kwalifikowanych oraz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wniesieniu przez przedsiębiorcę wkładu finansowego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wysokości co najmniej 25% kosztów kwalifikowanych, pochodzących ze środków własnych lub zewnętrznych źródeł finansowania,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wyłączeniem publicznych środków finansowych – na formularzu stanowiącym załącznik nr 2</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do uchwały;</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7) </w:t>
      </w:r>
      <w:r>
        <w:rPr>
          <w:rFonts w:ascii="Arial" w:eastAsia="Arial" w:hAnsi="Arial" w:cs="Arial"/>
          <w:b w:val="0"/>
          <w:i w:val="0"/>
          <w:caps w:val="0"/>
          <w:strike w:val="0"/>
          <w:color w:val="000000"/>
          <w:sz w:val="24"/>
          <w:u w:val="none" w:color="000000"/>
          <w:vertAlign w:val="baseline"/>
        </w:rPr>
        <w:t>oświadczenia, że działalność prowadzona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związku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inwestycją jest inna niż wskazana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rozporządzenia oraz dokumentu wskazującego rodzaj działalności, jaki będzie realizowany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związku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inwestycją;</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8) </w:t>
      </w:r>
      <w:r>
        <w:rPr>
          <w:rFonts w:ascii="Arial" w:eastAsia="Arial" w:hAnsi="Arial" w:cs="Arial"/>
          <w:b w:val="0"/>
          <w:i w:val="0"/>
          <w:caps w:val="0"/>
          <w:strike w:val="0"/>
          <w:color w:val="000000"/>
          <w:sz w:val="24"/>
          <w:u w:val="none" w:color="000000"/>
          <w:vertAlign w:val="baseline"/>
        </w:rPr>
        <w:t>oświadczenia, że inwestycja została rozpoczęta po zgłoszeniu Prezydentowi Bytomia zamiaru korzystania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pomocy.</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Po utworzeniu nowych miejsc pracy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następstwie inwestycji, przedsiębiorca zobowiązany jest,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terminie 30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 do dostarczenia Prezydentowi Bytomia:</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informacji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miesięcznych kosztach wynagrodzeń poniesionych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związku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utworzeniem nowych miejsc pracy (dotyczy tylko przedsiębiorców, dla których obliczana jest pomoc na podstawie szacunkowych kosztów płacy);</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oświadczenia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utworzeniu nowych miejsc pracy związanych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inwestycją – na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formularzu stanowiącym załącznik nr 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do uchwały.</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7. </w:t>
      </w:r>
      <w:r>
        <w:rPr>
          <w:rFonts w:ascii="Arial" w:eastAsia="Arial" w:hAnsi="Arial" w:cs="Arial"/>
          <w:b w:val="0"/>
          <w:i w:val="0"/>
          <w:caps w:val="0"/>
          <w:strike w:val="0"/>
          <w:color w:val="000000"/>
          <w:sz w:val="24"/>
          <w:u w:val="none" w:color="000000"/>
          <w:vertAlign w:val="baseline"/>
        </w:rPr>
        <w:t>Przedsiębiorca korzystający ze zwolnienia od podatku od nieruchomości jest zobowiązany:</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do dnia 31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stycznia danego roku przedstawiać informacje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wysokości zatrudnienia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przedsiębiorstwie, według stanu na dzień 31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grudnia roku poprzedniego,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zastrzeżeniem, że ostatnią informację należy złożyć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terminie 14</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 od dnia,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którym minęło 5</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lat od dnia otrzymania pomocy, 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 przypadku małych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średnich przedsiębiorstw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rozumieniu §</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pkt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rozporządzenia) 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lata od dnia jej otrzymania – na formularzu stanowiącym załącznik nr 4</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do uchwały;</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do dnia 31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stycznia każdego roku podatkowego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okresie korzystania ze zwolnienia od</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podatku od nieruchomości na podstawie niniejszej uchwały, przedstawić dokumenty niezbędne do udzielania pomocy,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rozporządzeniu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sprawie zakresu informacji.</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8.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Organ podatkowy ma prawo do przeprowadzania kontroli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zakresie przestrzegania przez przedsiębiorcę warunków zwolnienia od podatku od nieruchomości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obowiązków zawartych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uchwale,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tym także sprawdzania zgodności ze stanem faktycznym dokumentów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informacji składanych przez przedsiębiorców.</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Przedsiębiorca, na żądanie organu podatkowego obowiązany jest przedłożyć wszelkie dowody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informacje, celem stwierdzenia spełnienia warunków zwolnienia od podatku od</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nieruchomości.</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9.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Przedsiębiorca traci prawo do zwolnienia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podatku od nieruchomości za cały okres zwolnienia, gdy:</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nie spełnił warunków wskazanych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12</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rozporządzenia;</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przedstawił organowi podatkowemu nieprawdziwe oświadczenie lub informacje co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spełnienia warunków, od których uzależnione jest zwolnienie od podatku;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nie przedstawił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terminie organowi podatkowemu dokumentów,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6.</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Przedsiębiorca, który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dopełnił obowiązku określonego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 7</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uchwały traci możliwość korzystania ze zwolnienia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roku podatkowym,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którym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złożył wymaganych dokumentów.</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Przedsiębiorca jest zobowiązany powiadomić pisemnie organ udzielający pomocy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utracie prawa do zwolnienia od podatku od nieruchomości lub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okolicznościach mających wpływ na wielkość udzielanej pomocy –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terminie 14</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 od dnia wystąpienia tych okoliczności.</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Przedsiębiorca, który uzyskał pomoc, zobowiązany jest przechowywać dokumenty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nią związane przez okres co najmniej 10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lat od dnia jej udzielenia.</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5. </w:t>
      </w:r>
      <w:r>
        <w:rPr>
          <w:rFonts w:ascii="Arial" w:eastAsia="Arial" w:hAnsi="Arial" w:cs="Arial"/>
          <w:b w:val="0"/>
          <w:i w:val="0"/>
          <w:caps w:val="0"/>
          <w:strike w:val="0"/>
          <w:color w:val="000000"/>
          <w:sz w:val="24"/>
          <w:u w:val="none" w:color="000000"/>
          <w:vertAlign w:val="baseline"/>
        </w:rPr>
        <w:t>W przypadku utraty prawa do zwolnienia, przedsiębiorca zobowiązany jest do zapłaty podatku od nieruchomości wraz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odsetkami za cały okres,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którym korzystał ze zwolnienia,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procedurą określoną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przepisach ustawy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29</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sierpnia 1997</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Ordynacja podatkowa (Dz.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2023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poz.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2383,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późn. zm.).</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6. </w:t>
      </w:r>
      <w:r>
        <w:rPr>
          <w:rFonts w:ascii="Arial" w:eastAsia="Arial" w:hAnsi="Arial" w:cs="Arial"/>
          <w:b w:val="0"/>
          <w:i w:val="0"/>
          <w:caps w:val="0"/>
          <w:strike w:val="0"/>
          <w:color w:val="000000"/>
          <w:sz w:val="24"/>
          <w:u w:val="none" w:color="000000"/>
          <w:vertAlign w:val="baseline"/>
        </w:rPr>
        <w:t>W przypadku otrzymania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trakcie roku pomocy publicznej ponad dopuszczalną intensywność, przedsiębiorca jest zobowiązany do zwrotu nadwyżki pomocy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terminie do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grudnia danego roku podatkowego poprzez zapłatę podatku od nieruchomości wraz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odsetkami,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przepisami ustawy,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której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5.</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10. </w:t>
      </w:r>
      <w:r>
        <w:rPr>
          <w:rFonts w:ascii="Arial" w:eastAsia="Arial" w:hAnsi="Arial" w:cs="Arial"/>
          <w:b w:val="0"/>
          <w:i w:val="0"/>
          <w:caps w:val="0"/>
          <w:strike w:val="0"/>
          <w:color w:val="000000"/>
          <w:sz w:val="24"/>
          <w:u w:val="none" w:color="000000"/>
          <w:vertAlign w:val="baseline"/>
        </w:rPr>
        <w:t>Uchwała obowiązuje do dnia 31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grudnia 2026</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tym, że prawa do zwolnienia nabyte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czasie obowiązywania uchwały, trwają przez okres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niej przewidziany.</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11. </w:t>
      </w:r>
      <w:r>
        <w:rPr>
          <w:rFonts w:ascii="Arial" w:eastAsia="Arial" w:hAnsi="Arial" w:cs="Arial"/>
          <w:b w:val="0"/>
          <w:i w:val="0"/>
          <w:caps w:val="0"/>
          <w:strike w:val="0"/>
          <w:color w:val="000000"/>
          <w:sz w:val="24"/>
          <w:u w:val="none" w:color="000000"/>
          <w:vertAlign w:val="baseline"/>
        </w:rPr>
        <w:t>Wykonanie uchwały powierza się Prezydentowi Miasta.</w:t>
      </w:r>
    </w:p>
    <w:p w:rsidR="00A77B3E">
      <w:pPr>
        <w:keepNext/>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12. </w:t>
      </w:r>
      <w:r>
        <w:rPr>
          <w:rFonts w:ascii="Arial" w:eastAsia="Arial" w:hAnsi="Arial" w:cs="Arial"/>
          <w:b w:val="0"/>
          <w:i w:val="0"/>
          <w:caps w:val="0"/>
          <w:strike w:val="0"/>
          <w:color w:val="000000"/>
          <w:sz w:val="24"/>
          <w:u w:val="none" w:color="000000"/>
          <w:vertAlign w:val="baseline"/>
        </w:rPr>
        <w:t>Uchwała wchodzi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życie po upływie 14</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 od dnia ogłoszenia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Dzienniku Urzędowym Województwa Śląskiego.</w:t>
      </w:r>
    </w:p>
    <w:p w:rsidR="00A77B3E">
      <w:pPr>
        <w:keepNext/>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p>
    <w:p w:rsidR="00A77B3E">
      <w:pPr>
        <w:keepNext/>
        <w:spacing w:before="0" w:after="0"/>
        <w:rPr>
          <w:rFonts w:ascii="Arial" w:eastAsia="Arial" w:hAnsi="Arial" w:cs="Arial"/>
          <w:b w:val="0"/>
          <w:i w:val="0"/>
          <w:caps w:val="0"/>
          <w:strike w:val="0"/>
          <w:color w:val="000000"/>
          <w:sz w:val="24"/>
          <w:u w:val="none" w:color="000000"/>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4933"/>
        <w:gridCol w:w="493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keepLines/>
              <w:jc w:val="left"/>
              <w:rPr>
                <w:rFonts w:ascii="Arial" w:eastAsia="Arial" w:hAnsi="Arial" w:cs="Arial"/>
                <w:b w:val="0"/>
                <w:bCs w:val="0"/>
                <w:i w:val="0"/>
                <w:iCs w:val="0"/>
                <w:smallCaps w:val="0"/>
                <w:color w:val="000000"/>
                <w:sz w:val="24"/>
              </w:rPr>
            </w:pPr>
          </w:p>
        </w:tc>
        <w:tc>
          <w:tcPr>
            <w:tcW w:w="2500" w:type="pct"/>
            <w:noWrap w:val="0"/>
            <w:tcMar>
              <w:top w:w="0" w:type="dxa"/>
              <w:left w:w="0" w:type="dxa"/>
              <w:bottom w:w="0" w:type="dxa"/>
              <w:right w:w="0" w:type="dxa"/>
            </w:tcMar>
            <w:vAlign w:val="top"/>
            <w:hideMark/>
          </w:tcPr>
          <w:p>
            <w:pPr>
              <w:keepNext/>
              <w:keepLines/>
              <w:spacing w:before="100" w:after="40"/>
              <w:ind w:left="1134" w:right="1134" w:firstLine="0"/>
              <w:jc w:val="center"/>
              <w:rPr>
                <w:rFonts w:ascii="Arial" w:eastAsia="Arial" w:hAnsi="Arial" w:cs="Arial"/>
                <w:b w:val="0"/>
                <w:bCs w:val="0"/>
                <w:i w:val="0"/>
                <w:iCs w:val="0"/>
                <w:smallCaps w:val="0"/>
                <w:color w:val="000000"/>
                <w:sz w:val="24"/>
              </w:rPr>
            </w:pPr>
            <w:r>
              <w:rPr>
                <w:rFonts w:ascii="Arial" w:eastAsia="Arial" w:hAnsi="Arial" w:cs="Arial"/>
                <w:b w:val="0"/>
                <w:bCs w:val="0"/>
                <w:i w:val="0"/>
                <w:iCs w:val="0"/>
                <w:smallCaps w:val="0"/>
                <w:color w:val="000000"/>
                <w:sz w:val="24"/>
              </w:rPr>
              <w:t>Wiceprzewodniczący Rady Miejskiej</w:t>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b/>
                <w:i w:val="0"/>
              </w:rPr>
              <w:t>Grzegorz Nowak</w:t>
            </w:r>
          </w:p>
        </w:tc>
      </w:tr>
    </w:tbl>
    <w:p w:rsidR="00A77B3E">
      <w:pPr>
        <w:keepNext/>
        <w:spacing w:before="0" w:after="0"/>
        <w:rPr>
          <w:rFonts w:ascii="Arial" w:eastAsia="Arial" w:hAnsi="Arial" w:cs="Arial"/>
          <w:b w:val="0"/>
          <w:i w:val="0"/>
          <w:caps w:val="0"/>
          <w:strike w:val="0"/>
          <w:color w:val="000000"/>
          <w:sz w:val="24"/>
          <w:u w:val="none" w:color="000000"/>
          <w:vertAlign w:val="baseline"/>
        </w:rPr>
        <w:sectPr>
          <w:footerReference w:type="default" r:id="rId4"/>
          <w:endnotePr>
            <w:numFmt w:val="decimal"/>
          </w:endnotePr>
          <w:pgSz w:w="11906" w:h="16838"/>
          <w:pgMar w:top="1417" w:right="1020" w:bottom="992" w:left="1020" w:header="708" w:footer="708" w:gutter="0"/>
          <w:cols w:space="708"/>
          <w:docGrid w:linePitch="360"/>
        </w:sectPr>
      </w:pPr>
    </w:p>
    <w:p w:rsidR="00A77B3E">
      <w:pPr>
        <w:keepNext/>
        <w:spacing w:before="280" w:after="280" w:line="276" w:lineRule="auto"/>
        <w:ind w:left="4535" w:right="0" w:firstLine="0"/>
        <w:jc w:val="left"/>
        <w:rPr>
          <w:rFonts w:ascii="Arial" w:eastAsia="Arial" w:hAnsi="Arial" w:cs="Arial"/>
          <w:b w:val="0"/>
          <w:i w:val="0"/>
          <w:caps w:val="0"/>
          <w:strike w:val="0"/>
          <w:color w:val="000000"/>
          <w:sz w:val="24"/>
          <w:u w:val="none" w:color="000000"/>
          <w:vertAlign w:val="baseline"/>
        </w:rPr>
      </w:pPr>
      <w:r>
        <w:t>Załącznik Nr 1 do uchwały</w:t>
      </w:r>
      <w:r>
        <w:rPr>
          <w:rFonts w:ascii="Arial" w:eastAsia="Arial" w:hAnsi="Arial" w:cs="Arial"/>
          <w:b w:val="0"/>
          <w:i w:val="0"/>
          <w:caps w:val="0"/>
          <w:strike w:val="0"/>
          <w:color w:val="000000"/>
          <w:sz w:val="24"/>
          <w:u w:val="none" w:color="000000"/>
          <w:vertAlign w:val="baseline"/>
        </w:rPr>
        <w:t xml:space="preserve"> Nr II/17/24</w:t>
      </w:r>
      <w:r>
        <w:rPr>
          <w:rFonts w:ascii="Arial" w:eastAsia="Arial" w:hAnsi="Arial" w:cs="Arial"/>
          <w:b w:val="0"/>
          <w:i w:val="0"/>
          <w:caps w:val="0"/>
          <w:strike w:val="0"/>
          <w:color w:val="000000"/>
          <w:sz w:val="24"/>
          <w:u w:val="none" w:color="000000"/>
          <w:vertAlign w:val="baseline"/>
        </w:rPr>
        <w:br/>
      </w:r>
      <w:r>
        <w:t>Rady Miejskiej w Bytomiu</w:t>
      </w:r>
      <w:r>
        <w:rPr>
          <w:rFonts w:ascii="Arial" w:eastAsia="Arial" w:hAnsi="Arial" w:cs="Arial"/>
          <w:b w:val="0"/>
          <w:i w:val="0"/>
          <w:caps w:val="0"/>
          <w:strike w:val="0"/>
          <w:color w:val="000000"/>
          <w:sz w:val="24"/>
          <w:u w:val="none" w:color="000000"/>
          <w:vertAlign w:val="baseline"/>
        </w:rPr>
        <w:br/>
      </w:r>
      <w:r>
        <w:rPr>
          <w:rFonts w:ascii="Arial" w:eastAsia="Arial" w:hAnsi="Arial" w:cs="Arial"/>
          <w:sz w:val="24"/>
        </w:rPr>
        <w:t>z dnia 27 maja 2024 r.</w:t>
      </w:r>
      <w:r>
        <w:rPr>
          <w:rFonts w:ascii="Arial" w:eastAsia="Arial" w:hAnsi="Arial" w:cs="Arial"/>
          <w:b w:val="0"/>
          <w:i w:val="0"/>
          <w:caps w:val="0"/>
          <w:strike w:val="0"/>
          <w:color w:val="000000"/>
          <w:sz w:val="24"/>
          <w:u w:val="none" w:color="000000"/>
          <w:vertAlign w:val="baseline"/>
        </w:rPr>
        <w:br/>
      </w:r>
      <w:hyperlink r:id="rId5" w:history="1">
        <w:r>
          <w:rPr>
            <w:rStyle w:val="Hyperlink"/>
            <w:rFonts w:ascii="Arial" w:eastAsia="Arial" w:hAnsi="Arial" w:cs="Arial"/>
            <w:b w:val="0"/>
            <w:i w:val="0"/>
            <w:caps w:val="0"/>
            <w:strike w:val="0"/>
            <w:color w:val="000000"/>
            <w:sz w:val="24"/>
            <w:u w:val="none" w:color="000000"/>
            <w:vertAlign w:val="baseline"/>
          </w:rPr>
          <w:t>Zalacznik1.pdf</w:t>
        </w:r>
      </w:hyperlink>
    </w:p>
    <w:p w:rsidR="00A77B3E">
      <w:pPr>
        <w:keepNext/>
        <w:spacing w:before="0" w:after="480" w:line="276" w:lineRule="auto"/>
        <w:ind w:left="0" w:right="0" w:firstLine="0"/>
        <w:jc w:val="center"/>
        <w:rPr>
          <w:rFonts w:ascii="Arial" w:eastAsia="Arial" w:hAnsi="Arial" w:cs="Arial"/>
          <w:b w:val="0"/>
          <w:i w:val="0"/>
          <w:caps w:val="0"/>
          <w:strike w:val="0"/>
          <w:color w:val="000000"/>
          <w:sz w:val="24"/>
          <w:u w:val="none" w:color="000000"/>
          <w:vertAlign w:val="baseline"/>
        </w:rPr>
        <w:sectPr>
          <w:footerReference w:type="default" r:id="rId6"/>
          <w:endnotePr>
            <w:numFmt w:val="decimal"/>
          </w:endnotePr>
          <w:type w:val="nextPage"/>
          <w:pgSz w:w="11906" w:h="16838"/>
          <w:pgMar w:top="1417" w:right="1020" w:bottom="992" w:left="1020" w:header="708" w:footer="708" w:gutter="0"/>
          <w:cols w:space="708"/>
          <w:docGrid w:linePitch="360"/>
        </w:sectPr>
      </w:pPr>
      <w:r>
        <w:rPr>
          <w:rFonts w:ascii="Arial" w:eastAsia="Arial" w:hAnsi="Arial" w:cs="Arial"/>
          <w:b/>
          <w:i w:val="0"/>
          <w:caps w:val="0"/>
          <w:strike w:val="0"/>
          <w:color w:val="000000"/>
          <w:sz w:val="24"/>
          <w:u w:val="none" w:color="000000"/>
          <w:vertAlign w:val="baseline"/>
        </w:rPr>
        <w:t>Zawiadomienie</w:t>
      </w:r>
    </w:p>
    <w:p w:rsidR="00A77B3E">
      <w:pPr>
        <w:keepNext/>
        <w:spacing w:before="280" w:after="280" w:line="276" w:lineRule="auto"/>
        <w:ind w:left="4535" w:right="0" w:firstLine="0"/>
        <w:jc w:val="left"/>
        <w:rPr>
          <w:rFonts w:ascii="Arial" w:eastAsia="Arial" w:hAnsi="Arial" w:cs="Arial"/>
          <w:b w:val="0"/>
          <w:i w:val="0"/>
          <w:caps w:val="0"/>
          <w:strike w:val="0"/>
          <w:color w:val="000000"/>
          <w:sz w:val="24"/>
          <w:u w:val="none" w:color="000000"/>
          <w:vertAlign w:val="baseline"/>
        </w:rPr>
      </w:pPr>
      <w:r>
        <w:t>Załącznik Nr 2 do uchwały</w:t>
      </w:r>
      <w:r>
        <w:rPr>
          <w:rFonts w:ascii="Arial" w:eastAsia="Arial" w:hAnsi="Arial" w:cs="Arial"/>
          <w:b w:val="0"/>
          <w:i w:val="0"/>
          <w:caps w:val="0"/>
          <w:strike w:val="0"/>
          <w:color w:val="000000"/>
          <w:sz w:val="24"/>
          <w:u w:val="none" w:color="000000"/>
          <w:vertAlign w:val="baseline"/>
        </w:rPr>
        <w:t xml:space="preserve"> Nr II/17/24</w:t>
      </w:r>
      <w:r>
        <w:rPr>
          <w:rFonts w:ascii="Arial" w:eastAsia="Arial" w:hAnsi="Arial" w:cs="Arial"/>
          <w:b w:val="0"/>
          <w:i w:val="0"/>
          <w:caps w:val="0"/>
          <w:strike w:val="0"/>
          <w:color w:val="000000"/>
          <w:sz w:val="24"/>
          <w:u w:val="none" w:color="000000"/>
          <w:vertAlign w:val="baseline"/>
        </w:rPr>
        <w:br/>
      </w:r>
      <w:r>
        <w:t>Rady Miejskiej w Bytomiu</w:t>
      </w:r>
      <w:r>
        <w:rPr>
          <w:rFonts w:ascii="Arial" w:eastAsia="Arial" w:hAnsi="Arial" w:cs="Arial"/>
          <w:b w:val="0"/>
          <w:i w:val="0"/>
          <w:caps w:val="0"/>
          <w:strike w:val="0"/>
          <w:color w:val="000000"/>
          <w:sz w:val="24"/>
          <w:u w:val="none" w:color="000000"/>
          <w:vertAlign w:val="baseline"/>
        </w:rPr>
        <w:br/>
      </w:r>
      <w:r>
        <w:rPr>
          <w:rFonts w:ascii="Arial" w:eastAsia="Arial" w:hAnsi="Arial" w:cs="Arial"/>
          <w:sz w:val="24"/>
        </w:rPr>
        <w:t>z dnia 27 maja 2024 r.</w:t>
      </w:r>
      <w:r>
        <w:rPr>
          <w:rFonts w:ascii="Arial" w:eastAsia="Arial" w:hAnsi="Arial" w:cs="Arial"/>
          <w:b w:val="0"/>
          <w:i w:val="0"/>
          <w:caps w:val="0"/>
          <w:strike w:val="0"/>
          <w:color w:val="000000"/>
          <w:sz w:val="24"/>
          <w:u w:val="none" w:color="000000"/>
          <w:vertAlign w:val="baseline"/>
        </w:rPr>
        <w:br/>
      </w:r>
      <w:hyperlink r:id="rId7" w:history="1">
        <w:r>
          <w:rPr>
            <w:rStyle w:val="Hyperlink"/>
            <w:rFonts w:ascii="Arial" w:eastAsia="Arial" w:hAnsi="Arial" w:cs="Arial"/>
            <w:b w:val="0"/>
            <w:i w:val="0"/>
            <w:caps w:val="0"/>
            <w:strike w:val="0"/>
            <w:color w:val="000000"/>
            <w:sz w:val="24"/>
            <w:u w:val="none" w:color="000000"/>
            <w:vertAlign w:val="baseline"/>
          </w:rPr>
          <w:t>Zalacznik2.pdf</w:t>
        </w:r>
      </w:hyperlink>
    </w:p>
    <w:p w:rsidR="00A77B3E">
      <w:pPr>
        <w:keepNext/>
        <w:spacing w:before="0" w:after="480" w:line="276" w:lineRule="auto"/>
        <w:ind w:left="0" w:right="0" w:firstLine="0"/>
        <w:jc w:val="center"/>
        <w:rPr>
          <w:rFonts w:ascii="Arial" w:eastAsia="Arial" w:hAnsi="Arial" w:cs="Arial"/>
          <w:b w:val="0"/>
          <w:i w:val="0"/>
          <w:caps w:val="0"/>
          <w:strike w:val="0"/>
          <w:color w:val="000000"/>
          <w:sz w:val="24"/>
          <w:u w:val="none" w:color="000000"/>
          <w:vertAlign w:val="baseline"/>
        </w:rPr>
        <w:sectPr>
          <w:footerReference w:type="default" r:id="rId8"/>
          <w:endnotePr>
            <w:numFmt w:val="decimal"/>
          </w:endnotePr>
          <w:type w:val="nextPage"/>
          <w:pgSz w:w="11906" w:h="16838"/>
          <w:pgMar w:top="1417" w:right="1020" w:bottom="992" w:left="1020" w:header="708" w:footer="708" w:gutter="0"/>
          <w:cols w:space="708"/>
          <w:docGrid w:linePitch="360"/>
        </w:sectPr>
      </w:pPr>
      <w:r>
        <w:rPr>
          <w:rFonts w:ascii="Arial" w:eastAsia="Arial" w:hAnsi="Arial" w:cs="Arial"/>
          <w:b/>
          <w:i w:val="0"/>
          <w:caps w:val="0"/>
          <w:strike w:val="0"/>
          <w:color w:val="000000"/>
          <w:sz w:val="24"/>
          <w:u w:val="none" w:color="000000"/>
          <w:vertAlign w:val="baseline"/>
        </w:rPr>
        <w:t>Oświadczenie 1</w:t>
      </w:r>
    </w:p>
    <w:p w:rsidR="00A77B3E">
      <w:pPr>
        <w:keepNext/>
        <w:spacing w:before="280" w:after="280" w:line="276" w:lineRule="auto"/>
        <w:ind w:left="4535" w:right="0" w:firstLine="0"/>
        <w:jc w:val="left"/>
        <w:rPr>
          <w:rFonts w:ascii="Arial" w:eastAsia="Arial" w:hAnsi="Arial" w:cs="Arial"/>
          <w:b w:val="0"/>
          <w:i w:val="0"/>
          <w:caps w:val="0"/>
          <w:strike w:val="0"/>
          <w:color w:val="000000"/>
          <w:sz w:val="24"/>
          <w:u w:val="none" w:color="000000"/>
          <w:vertAlign w:val="baseline"/>
        </w:rPr>
      </w:pPr>
      <w:r>
        <w:t>Załącznik Nr 3 do uchwały</w:t>
      </w:r>
      <w:r>
        <w:rPr>
          <w:rFonts w:ascii="Arial" w:eastAsia="Arial" w:hAnsi="Arial" w:cs="Arial"/>
          <w:b w:val="0"/>
          <w:i w:val="0"/>
          <w:caps w:val="0"/>
          <w:strike w:val="0"/>
          <w:color w:val="000000"/>
          <w:sz w:val="24"/>
          <w:u w:val="none" w:color="000000"/>
          <w:vertAlign w:val="baseline"/>
        </w:rPr>
        <w:t xml:space="preserve"> Nr II/17/24</w:t>
      </w:r>
      <w:r>
        <w:rPr>
          <w:rFonts w:ascii="Arial" w:eastAsia="Arial" w:hAnsi="Arial" w:cs="Arial"/>
          <w:b w:val="0"/>
          <w:i w:val="0"/>
          <w:caps w:val="0"/>
          <w:strike w:val="0"/>
          <w:color w:val="000000"/>
          <w:sz w:val="24"/>
          <w:u w:val="none" w:color="000000"/>
          <w:vertAlign w:val="baseline"/>
        </w:rPr>
        <w:br/>
      </w:r>
      <w:r>
        <w:t>Rady Miejskiej w Bytomiu</w:t>
      </w:r>
      <w:r>
        <w:rPr>
          <w:rFonts w:ascii="Arial" w:eastAsia="Arial" w:hAnsi="Arial" w:cs="Arial"/>
          <w:b w:val="0"/>
          <w:i w:val="0"/>
          <w:caps w:val="0"/>
          <w:strike w:val="0"/>
          <w:color w:val="000000"/>
          <w:sz w:val="24"/>
          <w:u w:val="none" w:color="000000"/>
          <w:vertAlign w:val="baseline"/>
        </w:rPr>
        <w:br/>
      </w:r>
      <w:r>
        <w:rPr>
          <w:rFonts w:ascii="Arial" w:eastAsia="Arial" w:hAnsi="Arial" w:cs="Arial"/>
          <w:sz w:val="24"/>
        </w:rPr>
        <w:t>z dnia 27 maja 2024 r.</w:t>
      </w:r>
      <w:r>
        <w:rPr>
          <w:rFonts w:ascii="Arial" w:eastAsia="Arial" w:hAnsi="Arial" w:cs="Arial"/>
          <w:b w:val="0"/>
          <w:i w:val="0"/>
          <w:caps w:val="0"/>
          <w:strike w:val="0"/>
          <w:color w:val="000000"/>
          <w:sz w:val="24"/>
          <w:u w:val="none" w:color="000000"/>
          <w:vertAlign w:val="baseline"/>
        </w:rPr>
        <w:br/>
      </w:r>
      <w:hyperlink r:id="rId9" w:history="1">
        <w:r>
          <w:rPr>
            <w:rStyle w:val="Hyperlink"/>
            <w:rFonts w:ascii="Arial" w:eastAsia="Arial" w:hAnsi="Arial" w:cs="Arial"/>
            <w:b w:val="0"/>
            <w:i w:val="0"/>
            <w:caps w:val="0"/>
            <w:strike w:val="0"/>
            <w:color w:val="000000"/>
            <w:sz w:val="24"/>
            <w:u w:val="none" w:color="000000"/>
            <w:vertAlign w:val="baseline"/>
          </w:rPr>
          <w:t>Zalacznik3.pdf</w:t>
        </w:r>
      </w:hyperlink>
    </w:p>
    <w:p w:rsidR="00A77B3E">
      <w:pPr>
        <w:keepNext/>
        <w:spacing w:before="0" w:after="480" w:line="276" w:lineRule="auto"/>
        <w:ind w:left="0" w:right="0" w:firstLine="0"/>
        <w:jc w:val="center"/>
        <w:rPr>
          <w:rFonts w:ascii="Arial" w:eastAsia="Arial" w:hAnsi="Arial" w:cs="Arial"/>
          <w:b w:val="0"/>
          <w:i w:val="0"/>
          <w:caps w:val="0"/>
          <w:strike w:val="0"/>
          <w:color w:val="000000"/>
          <w:sz w:val="24"/>
          <w:u w:val="none" w:color="000000"/>
          <w:vertAlign w:val="baseline"/>
        </w:rPr>
        <w:sectPr>
          <w:footerReference w:type="default" r:id="rId10"/>
          <w:endnotePr>
            <w:numFmt w:val="decimal"/>
          </w:endnotePr>
          <w:type w:val="nextPage"/>
          <w:pgSz w:w="11906" w:h="16838"/>
          <w:pgMar w:top="1417" w:right="1020" w:bottom="992" w:left="1020" w:header="708" w:footer="708" w:gutter="0"/>
          <w:cols w:space="708"/>
          <w:docGrid w:linePitch="360"/>
        </w:sectPr>
      </w:pPr>
      <w:r>
        <w:rPr>
          <w:rFonts w:ascii="Arial" w:eastAsia="Arial" w:hAnsi="Arial" w:cs="Arial"/>
          <w:b/>
          <w:i w:val="0"/>
          <w:caps w:val="0"/>
          <w:strike w:val="0"/>
          <w:color w:val="000000"/>
          <w:sz w:val="24"/>
          <w:u w:val="none" w:color="000000"/>
          <w:vertAlign w:val="baseline"/>
        </w:rPr>
        <w:t>Oświadczenie 2</w:t>
      </w:r>
    </w:p>
    <w:p w:rsidR="00A77B3E">
      <w:pPr>
        <w:keepNext/>
        <w:spacing w:before="280" w:after="280" w:line="276" w:lineRule="auto"/>
        <w:ind w:left="4535" w:right="0" w:firstLine="0"/>
        <w:jc w:val="left"/>
        <w:rPr>
          <w:rFonts w:ascii="Arial" w:eastAsia="Arial" w:hAnsi="Arial" w:cs="Arial"/>
          <w:b w:val="0"/>
          <w:i w:val="0"/>
          <w:caps w:val="0"/>
          <w:strike w:val="0"/>
          <w:color w:val="000000"/>
          <w:sz w:val="24"/>
          <w:u w:val="none" w:color="000000"/>
          <w:vertAlign w:val="baseline"/>
        </w:rPr>
      </w:pPr>
      <w:r>
        <w:t>Załącznik Nr 4 do uchwały</w:t>
      </w:r>
      <w:r>
        <w:rPr>
          <w:rFonts w:ascii="Arial" w:eastAsia="Arial" w:hAnsi="Arial" w:cs="Arial"/>
          <w:b w:val="0"/>
          <w:i w:val="0"/>
          <w:caps w:val="0"/>
          <w:strike w:val="0"/>
          <w:color w:val="000000"/>
          <w:sz w:val="24"/>
          <w:u w:val="none" w:color="000000"/>
          <w:vertAlign w:val="baseline"/>
        </w:rPr>
        <w:t xml:space="preserve"> Nr II/17/24</w:t>
      </w:r>
      <w:r>
        <w:rPr>
          <w:rFonts w:ascii="Arial" w:eastAsia="Arial" w:hAnsi="Arial" w:cs="Arial"/>
          <w:b w:val="0"/>
          <w:i w:val="0"/>
          <w:caps w:val="0"/>
          <w:strike w:val="0"/>
          <w:color w:val="000000"/>
          <w:sz w:val="24"/>
          <w:u w:val="none" w:color="000000"/>
          <w:vertAlign w:val="baseline"/>
        </w:rPr>
        <w:br/>
      </w:r>
      <w:r>
        <w:t>Rady Miejskiej w Bytomiu</w:t>
      </w:r>
      <w:r>
        <w:rPr>
          <w:rFonts w:ascii="Arial" w:eastAsia="Arial" w:hAnsi="Arial" w:cs="Arial"/>
          <w:b w:val="0"/>
          <w:i w:val="0"/>
          <w:caps w:val="0"/>
          <w:strike w:val="0"/>
          <w:color w:val="000000"/>
          <w:sz w:val="24"/>
          <w:u w:val="none" w:color="000000"/>
          <w:vertAlign w:val="baseline"/>
        </w:rPr>
        <w:br/>
      </w:r>
      <w:r>
        <w:rPr>
          <w:rFonts w:ascii="Arial" w:eastAsia="Arial" w:hAnsi="Arial" w:cs="Arial"/>
          <w:sz w:val="24"/>
        </w:rPr>
        <w:t>z dnia 27 maja 2024 r.</w:t>
      </w:r>
      <w:r>
        <w:rPr>
          <w:rFonts w:ascii="Arial" w:eastAsia="Arial" w:hAnsi="Arial" w:cs="Arial"/>
          <w:b w:val="0"/>
          <w:i w:val="0"/>
          <w:caps w:val="0"/>
          <w:strike w:val="0"/>
          <w:color w:val="000000"/>
          <w:sz w:val="24"/>
          <w:u w:val="none" w:color="000000"/>
          <w:vertAlign w:val="baseline"/>
        </w:rPr>
        <w:br/>
      </w:r>
      <w:hyperlink r:id="rId11" w:history="1">
        <w:r>
          <w:rPr>
            <w:rStyle w:val="Hyperlink"/>
            <w:rFonts w:ascii="Arial" w:eastAsia="Arial" w:hAnsi="Arial" w:cs="Arial"/>
            <w:b w:val="0"/>
            <w:i w:val="0"/>
            <w:caps w:val="0"/>
            <w:strike w:val="0"/>
            <w:color w:val="000000"/>
            <w:sz w:val="24"/>
            <w:u w:val="none" w:color="000000"/>
            <w:vertAlign w:val="baseline"/>
          </w:rPr>
          <w:t>Zalacznik4.pdf</w:t>
        </w:r>
      </w:hyperlink>
    </w:p>
    <w:p w:rsidR="00A77B3E">
      <w:pPr>
        <w:keepNext/>
        <w:spacing w:before="0" w:after="480" w:line="276" w:lineRule="auto"/>
        <w:ind w:left="0" w:right="0" w:firstLine="0"/>
        <w:jc w:val="center"/>
        <w:rPr>
          <w:rFonts w:ascii="Arial" w:eastAsia="Arial" w:hAnsi="Arial" w:cs="Arial"/>
          <w:b w:val="0"/>
          <w:i w:val="0"/>
          <w:caps w:val="0"/>
          <w:strike w:val="0"/>
          <w:color w:val="000000"/>
          <w:sz w:val="24"/>
          <w:u w:val="none" w:color="000000"/>
          <w:vertAlign w:val="baseline"/>
        </w:rPr>
        <w:sectPr>
          <w:footerReference w:type="default" r:id="rId12"/>
          <w:endnotePr>
            <w:numFmt w:val="decimal"/>
          </w:endnotePr>
          <w:type w:val="nextPage"/>
          <w:pgSz w:w="11906" w:h="16838"/>
          <w:pgMar w:top="1417" w:right="1020" w:bottom="992" w:left="1020" w:header="708" w:footer="708" w:gutter="0"/>
          <w:cols w:space="708"/>
          <w:docGrid w:linePitch="360"/>
        </w:sectPr>
      </w:pPr>
      <w:r>
        <w:rPr>
          <w:rFonts w:ascii="Arial" w:eastAsia="Arial" w:hAnsi="Arial" w:cs="Arial"/>
          <w:b/>
          <w:i w:val="0"/>
          <w:caps w:val="0"/>
          <w:strike w:val="0"/>
          <w:color w:val="000000"/>
          <w:sz w:val="24"/>
          <w:u w:val="none" w:color="000000"/>
          <w:vertAlign w:val="baseline"/>
        </w:rPr>
        <w:t>Oświadczenie 3</w:t>
      </w: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rFonts w:eastAsia="Times New Roman" w:cs="Times New Roman"/>
          <w:szCs w:val="20"/>
        </w:rPr>
      </w:pPr>
      <w:r>
        <w:rPr>
          <w:rFonts w:eastAsia="Times New Roman" w:cs="Times New Roman"/>
          <w:caps/>
          <w:szCs w:val="20"/>
        </w:rPr>
        <w:t>Uzasadnienie</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W dniu 31 grudnia 2023 r. weszło w życie rozporządzenie Rady Ministrów z dnia 8 grudnia 2023 r. zmieniające rozporządzenie w sprawie warunków udzielania zwolnień z podatku od nieruchomości oraz podatku od środków transportowych, stanowiących regionalną pomoc inwestycyjną, pomoc na kulturę i zachowanie dziedzictwa kulturowego, pomoc na infrastrukturę sportową i wielofunkcyjną infrastrukturę rekreacyjną, pomoc na infrastrukturę lokalną, pomoc na rzecz regionalnych portów lotniczych oraz pomoc na rzecz portów (Dz. U. z 2023 r. poz. 2765), którym przedłużono do dnia 31 grudnia 2026 r. ogólnopolski program pomocowy przewidujący udzielenie pomocy regionalnej zgodnie z rozporządzeniem Komisji (UE) nr 651/2014.</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Niniejsza uchwała przewiduje kontynuację możliwości udzielania przedsiębiorcom pomocy publicznej w formie zwolnienia od podatku od nieruchomości na warunkach określonych w uchwale oraz w rozporządzeniu Rady Ministrów z dnia 9 stycznia 2015 r. Ze zwolnienia od podatku skorzystają przedsiębiorcy, którzy na terenie miasta Bytomia zrealizują inwestycję początkową i utworzą nowe miejsca pracy związane z tą inwestycją.</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Uchwała daje przedsiębiorcom możliwość zmniejszenia kosztów prowadzonej działalności, a miastu korzyści społeczne w postaci utworzenia nowych miejsc pracy. Zmniejszenia obciążeń podatkowych poprzez zwolnienie od podatku od nieruchomości mają na celu poprawę atrakcyjności Bytomia jako miejsca prowadzenia działalności gospodarczej oraz zachęcenie potencjalnych inwestorów do realizacji nowych zamierzeń gospodarczych i tworzenia nowych miejsc pracy na jego terenie.</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Niniejsza uchwała nie podlega notyfikacji Komisji Europejskiej, jak również nie wymaga uzyskania opinii Prezesa Urzędu Ochrony Konkurencji i Konsumentów. Uchwała, po jej podjęciu, będzie wymagała przesłania do ewidencji Prezesa UOKiK, w terminie 30 dni od dnia wejścia w życie – art. 8 ust. 2 ustawy z dnia 30 kwietnia 2004 r. o postępowaniu w sprawach dotyczących pomocy publicznej (Dz. U. z 2023 r. poz. 702).</w:t>
      </w:r>
    </w:p>
    <w:sectPr>
      <w:footerReference w:type="default" r:id="rId13"/>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5F5BC14A-33D1-420D-8F29-955738E06790.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5F5BC14A-33D1-420D-8F29-955738E06790.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5F5BC14A-33D1-420D-8F29-955738E06790.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5F5BC14A-33D1-420D-8F29-955738E06790.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5F5BC14A-33D1-420D-8F29-955738E06790.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5F5BC14A-33D1-420D-8F29-955738E06790.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left"/>
    </w:pPr>
    <w:rPr>
      <w:rFonts w:ascii="Arial" w:eastAsia="Arial" w:hAnsi="Arial" w:cs="Arial"/>
      <w:sz w:val="24"/>
      <w:szCs w:val="24"/>
      <w:lang w:val="pl-PL" w:eastAsia="pl-PL" w:bidi="pl-PL"/>
    </w:rPr>
  </w:style>
  <w:style w:type="character" w:default="1" w:styleId="DefaultParagraphFont">
    <w:name w:val="Default Paragraph Font"/>
    <w:semiHidden/>
    <w:rPr>
      <w:lang w:val="pl-PL" w:eastAsia="pl-PL" w:bidi="pl-PL"/>
    </w:rPr>
  </w:style>
  <w:style w:type="table" w:default="1" w:styleId="TableNormal">
    <w:name w:val="Normal Table"/>
    <w:semiHidden/>
    <w:rPr>
      <w:lang w:val="pl-PL" w:eastAsia="pl-PL" w:bidi="pl-PL"/>
    </w:rPr>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basedOn w:val="DefaultParagraphFont"/>
    <w:rsid w:val="00EF7B96"/>
    <w:rPr>
      <w:color w:val="0000FF"/>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4.xml" /><Relationship Id="rId11" Type="http://schemas.openxmlformats.org/officeDocument/2006/relationships/hyperlink" Target="Zalacznik4.pdf" TargetMode="External" /><Relationship Id="rId12" Type="http://schemas.openxmlformats.org/officeDocument/2006/relationships/footer" Target="footer5.xml" /><Relationship Id="rId13" Type="http://schemas.openxmlformats.org/officeDocument/2006/relationships/footer" Target="footer6.xml" /><Relationship Id="rId14" Type="http://schemas.openxmlformats.org/officeDocument/2006/relationships/theme" Target="theme/theme1.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Zalacznik1.pdf" TargetMode="External" /><Relationship Id="rId6" Type="http://schemas.openxmlformats.org/officeDocument/2006/relationships/footer" Target="footer2.xml" /><Relationship Id="rId7" Type="http://schemas.openxmlformats.org/officeDocument/2006/relationships/hyperlink" Target="Zalacznik2.pdf" TargetMode="External" /><Relationship Id="rId8" Type="http://schemas.openxmlformats.org/officeDocument/2006/relationships/footer" Target="footer3.xml" /><Relationship Id="rId9" Type="http://schemas.openxmlformats.org/officeDocument/2006/relationships/hyperlink" Target="Zalacznik3.pdf" TargetMode="Externa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Rada Miejska w Bytomiu</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II/17/24 z dnia 27 maja 2024 r.</dc:title>
  <dc:subject>w sprawie zwolnień od podatku od nieruchomości w^ramach regionalnej pomocy inwestycyjnej na wspieranie inwestycji początkowej i^tworzenie nowych miejsc pracy związanych z^tą inwestycją na^terenie miasta Bytomia</dc:subject>
  <dc:creator>masocha</dc:creator>
  <cp:lastModifiedBy>masocha</cp:lastModifiedBy>
  <cp:revision>1</cp:revision>
  <dcterms:created xsi:type="dcterms:W3CDTF">2024-05-29T09:58:42Z</dcterms:created>
  <dcterms:modified xsi:type="dcterms:W3CDTF">2024-05-29T09:58:42Z</dcterms:modified>
  <cp:category>Akt prawny</cp:category>
</cp:coreProperties>
</file>