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6B7B4A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6B7B4A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:rsidR="00A77B3E" w:rsidRDefault="006B7B4A">
      <w:pPr>
        <w:keepNext/>
        <w:spacing w:after="480"/>
        <w:jc w:val="center"/>
      </w:pPr>
      <w:r>
        <w:rPr>
          <w:b/>
        </w:rPr>
        <w:t xml:space="preserve">w sprawie zwolnień od podatku od nieruchomości w ramach regionalnej pomocy inwestycyjnej na wspieranie inwestycji początkowej i tworzenie nowych miejsc pracy </w:t>
      </w:r>
      <w:r>
        <w:rPr>
          <w:b/>
        </w:rPr>
        <w:t>związanych z tą inwestycją na terenie miasta Bytomia</w:t>
      </w:r>
    </w:p>
    <w:p w:rsidR="00A77B3E" w:rsidRDefault="006B7B4A">
      <w:pPr>
        <w:keepLines/>
        <w:spacing w:before="120" w:after="120"/>
        <w:ind w:firstLine="227"/>
      </w:pPr>
      <w:r>
        <w:t>Na podstawie art. 18 ust. 2 pkt 8, art. 40 ust. 1, art. 41 ust. 1, art. 42 ustawy z dnia 8 marca 1990 r. o samorządzie gminnym (Dz. U. z 2024 r. poz. 609), art. 7 ust. 3 ustawy z dnia 12 stycznia 1991 r.</w:t>
      </w:r>
      <w:r>
        <w:t xml:space="preserve"> o podatkach i opłatach lokalnych (Dz. U. z 2023 r. poz. 70, z późn. zm.), w związku z rozporządzeniem Rady Ministrów z dnia 9 stycznia 2015 r. w sprawie warunków udzielania zwolnień od podatku od nieruchomości oraz podatku od środków transportowych, stano</w:t>
      </w:r>
      <w:r>
        <w:t xml:space="preserve">wiących regionalną pomoc inwestycyjną, pomoc na kulturę i zachowanie dziedzictwa kulturowego, pomoc na infrastrukturę sportową i wielofunkcyjną infrastrukturę rekreacyjną, pomoc na infrastrukturę lokalną, pomoc na rzecz regionalnych portów lotniczych oraz </w:t>
      </w:r>
      <w:r>
        <w:t>pomoc na rzecz portów (Dz. U. z 2022 r. poz. 1387, z późn. zm.) oraz art. 4 ust. 1 i art. 13 pkt 2 ustawy z dnia 20 lipca 2000 r. o ogłaszaniu aktów normatywnych i niektórych innych aktów prawnych (Dz. U. z 2019 r. poz. 1461) uchwala się, co następuje: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</w:t>
      </w:r>
      <w:r>
        <w:rPr>
          <w:b/>
        </w:rPr>
        <w:t>. </w:t>
      </w:r>
      <w:r>
        <w:t>1. </w:t>
      </w:r>
      <w:r>
        <w:t>Zwalnia się od podatku od nieruchomości, zajęte na prowadzenie działalności gospodarczej na terenie miasta Bytomia, nowo wybudowane budynki lub ich części, nowo wybudowane budowle lub ich części w związku z realizacją inwestycji początkowej w rozumien</w:t>
      </w:r>
      <w:r>
        <w:t>iu § 3 pkt 10 rozporządzenia Rady Ministrów z dnia 9 stycznia 2015 r. w sprawie warunków udzielania zwolnień z podatku od nieruchomości oraz podatku od środków transportowych, stanowiących regionalną pomoc inwestycyjną, pomoc na kulturę i zachowanie dziedz</w:t>
      </w:r>
      <w:r>
        <w:t>ictwa kulturowego, pomoc na infrastrukturę sportową i wielofunkcyjną infrastrukturę rekreacyjną, pomoc na infrastrukturę lokalną, pomoc na rzecz regionalnych portów lotniczych oraz pomoc na rzecz portów (Dz. U. z 2022 r. poz. 1387, z późn. zm.), zwanego da</w:t>
      </w:r>
      <w:r>
        <w:t>lej „rozporządzeniem”, przez przedsiębiorców tworzących w jej ramach nowe miejsca pracy. Inwestycja początkowa zwana będzie dalej „inwestycją”.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Zwolnienie od podatku od nieruchomości, o którym mowa w ust. 1, przysługuje na warunkach i zasadach określony</w:t>
      </w:r>
      <w:r>
        <w:rPr>
          <w:color w:val="000000"/>
          <w:u w:color="000000"/>
        </w:rPr>
        <w:t>ch w rozporządzeniu oraz w niniejszej uchwale.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 nowo wybudowane budynki lub ich części, nowo wybudowane budowle lub ich części uważa się takie, których budowa została rozpoczęta po dniu zgłoszenia, o którym mowa w § 5 ust. 1 uchwały.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Zwolnienie, </w:t>
      </w:r>
      <w:r>
        <w:rPr>
          <w:color w:val="000000"/>
          <w:u w:color="000000"/>
        </w:rPr>
        <w:t>o którym mowa w § 1 ust. 1, przysługuje: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 okres 2 lat, w przypadku zrealizowania – po wejściu w życie niniejszej uchwały – inwestycji, której koszty kwalifikowane wyniosą nie mniej niż 200.000 zł i utworzenia w jej wyniku co najmniej 2 nowych miejs</w:t>
      </w:r>
      <w:r>
        <w:rPr>
          <w:color w:val="000000"/>
          <w:u w:color="000000"/>
        </w:rPr>
        <w:t>c pracy związanych z tą inwestycją;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 okres 3 lat, w przypadku zrealizowania – po wejściu w życie niniejszej uchwały – inwestycji, której koszty kwalifikowane wyniosą nie mniej niż 600.000 zł i utworzenia w jej wyniku co najmniej 8 nowych miejsc pra</w:t>
      </w:r>
      <w:r>
        <w:rPr>
          <w:color w:val="000000"/>
          <w:u w:color="000000"/>
        </w:rPr>
        <w:t>cy związanych z tą inwestycją;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 okres 4 lat, w przypadku zrealizowania – po wejściu w życie niniejszej uchwały – inwestycji, której koszty kwalifikowane wyniosą nie mniej niż 3.000.000 zł i utworzenia w jej wyniku co najmniej 15 nowych miejsc pracy</w:t>
      </w:r>
      <w:r>
        <w:rPr>
          <w:color w:val="000000"/>
          <w:u w:color="000000"/>
        </w:rPr>
        <w:t xml:space="preserve"> związanych z tą inwestycją;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 xml:space="preserve">przez okres 5 lat, w przypadku zrealizowania – po wejściu w życie niniejszej uchwały – inwestycji, której koszty kwalifikowane wyniosą nie mniej niż 10.000.000 zł i utworzenia w jej wyniku co najmniej 30 nowych miejsc pracy </w:t>
      </w:r>
      <w:r>
        <w:rPr>
          <w:color w:val="000000"/>
          <w:u w:color="000000"/>
        </w:rPr>
        <w:t>związanych z tą inwestycją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5"/>
        <w:gridCol w:w="9767"/>
      </w:tblGrid>
      <w:tr w:rsidR="003E3710"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6B7B4A">
            <w:pPr>
              <w:rPr>
                <w:color w:val="000000"/>
                <w:u w:color="000000"/>
              </w:rPr>
            </w:pPr>
            <w:r>
              <w:t>w przypadku, gdy utworzenie nowych miejsc pracy spowodowało w przedsiębiorstwie na terenie miasta Bytomia wzrost zatrudnienia w porównaniu do średniej z 12 miesięcy poprzedzających utworzenie nowych miejsc pracy.</w:t>
            </w:r>
          </w:p>
        </w:tc>
      </w:tr>
    </w:tbl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Zwolnienie, o którym mowa w § 1 ust. 1 przysługuje od dnia powstania obowiązku podatkowego zgodnie z przepisami ustawy z dnia 12 stycznia 1991 r. o podatkach i opłatach lokalnych w terminach określonych niniejszą uchwałą – nie dłużej jednak niż do końca mi</w:t>
      </w:r>
      <w:r>
        <w:rPr>
          <w:color w:val="000000"/>
          <w:u w:color="000000"/>
        </w:rPr>
        <w:t>esiąca poprzedzającego miesiąc, w którym przekroczono intensywność lub wartość pomocy, o której mowa w rozporządzeniu.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Zwolnienie, o którym mowa w § 1 ust. 1 następuje po złożeniu deklaracji lub informacji na podatek od nieruchomości zawierającej dane o</w:t>
      </w:r>
      <w:r>
        <w:rPr>
          <w:color w:val="000000"/>
          <w:u w:color="000000"/>
        </w:rPr>
        <w:t> nieruchomościach korzystających           ze zwolnienia od podatku od nieruchomości.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Zwolnienie, o którym mowa w § 1 ust. 1 nie może przekroczyć należnego w okresie zwolnienia podatku od nieruchomości.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Do kosztów kwalifikowanych, o których mowa w § </w:t>
      </w:r>
      <w:r>
        <w:rPr>
          <w:color w:val="000000"/>
          <w:u w:color="000000"/>
        </w:rPr>
        <w:t>6 rozporządzenia, nie zalicza się ceny nabycia prawa własności gruntów lub prawa ich wieczystego użytkowania.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Zwolnieniu od podatku od nieruchomości, o którym mowa w § 1 ust. 1 nie podlegają budynki lub ich części oraz budowle lub ich części związane </w:t>
      </w:r>
      <w:r>
        <w:rPr>
          <w:color w:val="000000"/>
          <w:u w:color="000000"/>
        </w:rPr>
        <w:t>z: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działalnością handlową;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działalnością polegającą na prowadzeniu stacji paliw;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działalnością instytucji finansowych.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Przedsiębiorca ubiegający się o pomoc na podstawie uchwały zobowiązany jest do zgłoszenia organowi podatkowemu, przed ro</w:t>
      </w:r>
      <w:r>
        <w:rPr>
          <w:color w:val="000000"/>
          <w:u w:color="000000"/>
        </w:rPr>
        <w:t>zpoczęciem prac związanych z inwestycją, zamiaru korzystania z tej pomocy w formie pisemnej - na formularzu określonym w załączniku nr 1 do uchwały, wraz z wymaganymi załącznikami, najpóźniej do dnia 31 grudnia 2026 r.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Zwolnienie od podatku od nieruchom</w:t>
      </w:r>
      <w:r>
        <w:rPr>
          <w:color w:val="000000"/>
          <w:u w:color="000000"/>
        </w:rPr>
        <w:t>ości, o którym mowa w § 1 ust. 1, przysługuje po spełnieniu łącznie następujących warunków: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zakończenia inwestycji w okresie nieprzekraczającym 3 lat, liczonym od daty zgłoszenia, o którym mowa w ust. 1;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utworzenia nowych miejsc pracy w następstwie p</w:t>
      </w:r>
      <w:r>
        <w:rPr>
          <w:color w:val="000000"/>
          <w:u w:color="000000"/>
        </w:rPr>
        <w:t>rac związanych z realizacją inwestycji i obsadzenia każdego stanowiska w okresie 2 lat od zakończenia inwestycji.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Po zakończeniu realizacji inwestycji, przedsiębiorca, który dokonał zgłoszenia zamiaru korzystania z pomocy zobowiązany jest, w termin</w:t>
      </w:r>
      <w:r>
        <w:rPr>
          <w:color w:val="000000"/>
          <w:u w:color="000000"/>
        </w:rPr>
        <w:t>ie 30 dni, do dostarczenia Prezydentowi Bytomia: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dokumentu potwierdzającego zakończenie realizacji inwestycji, tj. prawomocnej decyzji o pozwoleniu na użytkowanie obiektu lub dokumentu potwierdzającego przyjęcie zgłoszenia o zakończeniu budowy;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dokum</w:t>
      </w:r>
      <w:r>
        <w:rPr>
          <w:color w:val="000000"/>
          <w:u w:color="000000"/>
        </w:rPr>
        <w:t>entu potwierdzającego posiadanie tytułu prawnego do nieruchomości;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informacji o rodzaju i wysokości poniesionych kosztów kwalifikowanych, potwierdzonych kserokopiami faktur lub innych dokumentów księgowych (z oryginałami do wglądu);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oświadczenia o </w:t>
      </w:r>
      <w:r>
        <w:rPr>
          <w:color w:val="000000"/>
          <w:u w:color="000000"/>
        </w:rPr>
        <w:t>miesięcznych kosztach wynagrodzeń poniesionych lub planowanych w związku z utworzeniem miejsc pracy w następstwie inwestycji (dotyczy tylko przedsiębiorców, dla których obliczana jest pomoc na podstawie szacunkowych kosztów płacy);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informacji, których z</w:t>
      </w:r>
      <w:r>
        <w:rPr>
          <w:color w:val="000000"/>
          <w:u w:color="000000"/>
        </w:rPr>
        <w:t>akres oraz formę przekazywania określa rozporządzenie Rady Ministrów z dnia 29 marca 2010 r. w sprawie zakresu informacji przedstawianych przez podmiot ubiegający się o pomoc inną niż de minimis lub pomoc de minimis w rolnictwie lub rybołówstwie (Dz. U. nr</w:t>
      </w:r>
      <w:r>
        <w:rPr>
          <w:color w:val="000000"/>
          <w:u w:color="000000"/>
        </w:rPr>
        <w:t xml:space="preserve"> 53 poz. 312, z późn. zm.), zwane dalej: „rozporządzeniem w sprawie zakresu informacji”;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oświadczenia o wartości inwestycji, ustalonej według kosztów kwalifikowanych oraz o wniesieniu przez przedsiębiorcę wkładu finansowego w wysokości co najmniej 25% k</w:t>
      </w:r>
      <w:r>
        <w:rPr>
          <w:color w:val="000000"/>
          <w:u w:color="000000"/>
        </w:rPr>
        <w:t>osztów kwalifikowanych, pochodzących ze środków własnych lub zewnętrznych źródeł finansowania, z wyłączeniem publicznych środków finansowych – na formularzu stanowiącym załącznik nr 2 do uchwały;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oświadczenia, że działalność prowadzona w związku z inwes</w:t>
      </w:r>
      <w:r>
        <w:rPr>
          <w:color w:val="000000"/>
          <w:u w:color="000000"/>
        </w:rPr>
        <w:t>tycją jest inna niż wskazana w § 2 rozporządzenia oraz dokumentu wskazującego rodzaj działalności, jaki będzie realizowany w związku z inwestycją;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oświadczenia, że inwestycja została rozpoczęta po zgłoszeniu Prezydentowi Bytomia zamiaru korzystania z po</w:t>
      </w:r>
      <w:r>
        <w:rPr>
          <w:color w:val="000000"/>
          <w:u w:color="000000"/>
        </w:rPr>
        <w:t>mocy.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 utworzeniu nowych miejsc pracy w następstwie inwestycji, przedsiębiorca zobowiązany jest, w terminie 30 dni, do dostarczenia Prezydentowi Bytomia: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informacji o miesięcznych kosztach wynagrodzeń poniesionych w związku z utworzeniem nowych mie</w:t>
      </w:r>
      <w:r>
        <w:rPr>
          <w:color w:val="000000"/>
          <w:u w:color="000000"/>
        </w:rPr>
        <w:t>jsc pracy (dotyczy tylko przedsiębiorców, dla których obliczana jest pomoc na podstawie szacunkowych kosztów płacy);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oświadczenia o utworzeniu nowych miejsc pracy związanych z inwestycją – na formularzu stanowiącym załącznik nr 3 do uchwały.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Przedsiębiorca korzystający ze zwolnienia od podatku od nieruchomości jest zobowiązany: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 dnia 31 stycznia danego roku przedstawiać informacje o wysokości zatrudnienia w przedsiębiorstwie, według stanu na dzień 31 grudnia roku poprzedniego, z zastrzeże</w:t>
      </w:r>
      <w:r>
        <w:rPr>
          <w:color w:val="000000"/>
          <w:u w:color="000000"/>
        </w:rPr>
        <w:t>niem, że ostatnią informację należy złożyć w terminie 14 dni od dnia, w którym minęło 5 lat od dnia otrzymania pomocy, a w przypadku małych i średnich przedsiębiorstw (w rozumieniu § 3 pkt 1 rozporządzenia) 3 lata od dnia jej otrzymania – na formularzu sta</w:t>
      </w:r>
      <w:r>
        <w:rPr>
          <w:color w:val="000000"/>
          <w:u w:color="000000"/>
        </w:rPr>
        <w:t>nowiącym załącznik nr 4 do uchwały;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 dnia 31 stycznia każdego roku podatkowego w okresie korzystania ze zwolnienia od podatku od nieruchomości na podstawie niniejszej uchwały, przedstawić dokumenty niezbędne do udzielania pomocy, o których mowa w rozp</w:t>
      </w:r>
      <w:r>
        <w:rPr>
          <w:color w:val="000000"/>
          <w:u w:color="000000"/>
        </w:rPr>
        <w:t>orządzeniu w sprawie zakresu informacji.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Organ podatkowy ma prawo do przeprowadzania kontroli w zakresie przestrzegania przez przedsiębiorcę warunków zwolnienia od podatku od nieruchomości i obowiązków zawartych w uchwale, w tym także sprawdzania z</w:t>
      </w:r>
      <w:r>
        <w:rPr>
          <w:color w:val="000000"/>
          <w:u w:color="000000"/>
        </w:rPr>
        <w:t>godności ze stanem faktycznym dokumentów i informacji składanych przez przedsiębiorców.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Przedsiębiorca, na żądanie organu podatkowego obowiązany jest przedłożyć wszelkie dowody i informacje, celem stwierdzenia spełnienia warunków zwolnienia od podatku o</w:t>
      </w:r>
      <w:r>
        <w:rPr>
          <w:color w:val="000000"/>
          <w:u w:color="000000"/>
        </w:rPr>
        <w:t>d nieruchomości.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9. </w:t>
      </w:r>
      <w:r>
        <w:t>1. </w:t>
      </w:r>
      <w:r>
        <w:rPr>
          <w:color w:val="000000"/>
          <w:u w:color="000000"/>
        </w:rPr>
        <w:t>Przedsiębiorca traci prawo do zwolnienia z podatku od nieruchomości za cały okres zwolnienia, gdy: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 spełnił warunków wskazanych w § 12 ust. 1 rozporządzenia;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przedstawił organowi podatkowemu nieprawdziwe oświadczenie lub i</w:t>
      </w:r>
      <w:r>
        <w:rPr>
          <w:color w:val="000000"/>
          <w:u w:color="000000"/>
        </w:rPr>
        <w:t>nformacje co do spełnienia warunków, od których uzależnione jest zwolnienie od podatku;</w:t>
      </w:r>
    </w:p>
    <w:p w:rsidR="00A77B3E" w:rsidRDefault="006B7B4A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nie przedstawił w terminie organowi podatkowemu dokumentów, o których mowa w § 6.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Przedsiębiorca, który nie dopełnił obowiązku określonego w § 7 uchwały traci moż</w:t>
      </w:r>
      <w:r>
        <w:rPr>
          <w:color w:val="000000"/>
          <w:u w:color="000000"/>
        </w:rPr>
        <w:t>liwość korzystania ze zwolnienia w roku podatkowym, w którym nie złożył wymaganych dokumentów.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Przedsiębiorca jest zobowiązany powiadomić pisemnie organ udzielający pomocy o utracie prawa do zwolnienia od podatku od nieruchomości lub o okolicznościach m</w:t>
      </w:r>
      <w:r>
        <w:rPr>
          <w:color w:val="000000"/>
          <w:u w:color="000000"/>
        </w:rPr>
        <w:t>ających wpływ na wielkość udzielanej pomocy – w terminie 14 dni od dnia wystąpienia tych okoliczności.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Przedsiębiorca, który uzyskał pomoc, zobowiązany jest przechowywać dokumenty z nią związane przez okres co najmniej 10 lat od dnia jej udzielenia.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przypadku utraty prawa do zwolnienia, przedsiębiorca zobowiązany jest do zapłaty podatku od nieruchomości wraz z odsetkami za cały okres, w którym korzystał ze zwolnienia, zgodnie z procedurą określoną w przepisach ustawy z dnia 29 sierpnia 1997 r. Ordyn</w:t>
      </w:r>
      <w:r>
        <w:rPr>
          <w:color w:val="000000"/>
          <w:u w:color="000000"/>
        </w:rPr>
        <w:t>acja podatkowa (Dz. U. z 2023 r. poz. 2383, z późn. zm.).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przypadku otrzymania w trakcie roku pomocy publicznej ponad dopuszczalną intensywność, przedsiębiorca jest zobowiązany do zwrotu nadwyżki pomocy w terminie do 31 grudnia danego roku podatkowego</w:t>
      </w:r>
      <w:r>
        <w:rPr>
          <w:color w:val="000000"/>
          <w:u w:color="000000"/>
        </w:rPr>
        <w:t xml:space="preserve"> poprzez zapłatę podatku od nieruchomości wraz z odsetkami, zgodnie z przepisami ustawy, o której mowa w ust. 5.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Uchwała obowiązuje do dnia 31 grudnia 2026 r., z tym, że prawa do zwolnienia nabyte w czasie obowiązywania uchwały, trwają przez okres w </w:t>
      </w:r>
      <w:r>
        <w:rPr>
          <w:color w:val="000000"/>
          <w:u w:color="000000"/>
        </w:rPr>
        <w:t>niej przewidziany.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6B7B4A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12. </w:t>
      </w:r>
      <w:r>
        <w:rPr>
          <w:color w:val="000000"/>
          <w:u w:color="000000"/>
        </w:rPr>
        <w:t>Uchwała wchodzi w życie po</w:t>
      </w:r>
      <w:r>
        <w:rPr>
          <w:color w:val="000000"/>
          <w:u w:color="000000"/>
        </w:rPr>
        <w:t xml:space="preserve"> upływie 14 dni od dnia ogłoszenia w Dzienniku Urzędowym Województwa Śląskiego.</w:t>
      </w:r>
    </w:p>
    <w:p w:rsidR="00A77B3E" w:rsidRDefault="006B7B4A">
      <w:pPr>
        <w:keepNext/>
        <w:keepLines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1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2024 r.</w:t>
      </w:r>
      <w:r>
        <w:rPr>
          <w:color w:val="000000"/>
          <w:u w:color="000000"/>
        </w:rPr>
        <w:br/>
      </w:r>
      <w:hyperlink r:id="rId7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A77B3E" w:rsidRDefault="006B7B4A">
      <w:pPr>
        <w:keepNext/>
        <w:spacing w:after="480"/>
        <w:jc w:val="center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>Zawiadomienie</w:t>
      </w:r>
    </w:p>
    <w:p w:rsidR="00A77B3E" w:rsidRDefault="006B7B4A">
      <w:pPr>
        <w:keepNext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2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2024 r.</w:t>
      </w:r>
      <w:r>
        <w:rPr>
          <w:color w:val="000000"/>
          <w:u w:color="000000"/>
        </w:rPr>
        <w:br/>
      </w:r>
      <w:hyperlink r:id="rId9" w:history="1">
        <w:r>
          <w:rPr>
            <w:rStyle w:val="Hipercze"/>
            <w:color w:val="000000"/>
            <w:u w:val="none" w:color="000000"/>
          </w:rPr>
          <w:t>Zalacznik2.pdf</w:t>
        </w:r>
      </w:hyperlink>
    </w:p>
    <w:p w:rsidR="00A77B3E" w:rsidRDefault="006B7B4A">
      <w:pPr>
        <w:keepNext/>
        <w:spacing w:after="480"/>
        <w:jc w:val="center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>Oświadczenie 1</w:t>
      </w:r>
    </w:p>
    <w:p w:rsidR="00A77B3E" w:rsidRDefault="006B7B4A">
      <w:pPr>
        <w:keepNext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3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2024 r.</w:t>
      </w:r>
      <w:r>
        <w:rPr>
          <w:color w:val="000000"/>
          <w:u w:color="000000"/>
        </w:rPr>
        <w:br/>
      </w:r>
      <w:hyperlink r:id="rId11" w:history="1">
        <w:r>
          <w:rPr>
            <w:rStyle w:val="Hipercze"/>
            <w:color w:val="000000"/>
            <w:u w:val="none" w:color="000000"/>
          </w:rPr>
          <w:t>Zalacznik3.pdf</w:t>
        </w:r>
      </w:hyperlink>
    </w:p>
    <w:p w:rsidR="00A77B3E" w:rsidRDefault="006B7B4A">
      <w:pPr>
        <w:keepNext/>
        <w:spacing w:after="480"/>
        <w:jc w:val="center"/>
        <w:rPr>
          <w:color w:val="000000"/>
          <w:u w:color="000000"/>
        </w:rPr>
        <w:sectPr w:rsidR="00A77B3E">
          <w:footerReference w:type="default" r:id="rId12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>Oświadczenie 2</w:t>
      </w:r>
    </w:p>
    <w:p w:rsidR="00A77B3E" w:rsidRDefault="006B7B4A">
      <w:pPr>
        <w:keepNext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4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2024 r.</w:t>
      </w:r>
      <w:r>
        <w:rPr>
          <w:color w:val="000000"/>
          <w:u w:color="000000"/>
        </w:rPr>
        <w:br/>
      </w:r>
      <w:hyperlink r:id="rId13" w:history="1">
        <w:r>
          <w:rPr>
            <w:rStyle w:val="Hipercze"/>
            <w:color w:val="000000"/>
            <w:u w:val="none" w:color="000000"/>
          </w:rPr>
          <w:t>Zalacznik4.pdf</w:t>
        </w:r>
      </w:hyperlink>
    </w:p>
    <w:p w:rsidR="00A77B3E" w:rsidRDefault="006B7B4A">
      <w:pPr>
        <w:keepNext/>
        <w:spacing w:after="480"/>
        <w:jc w:val="center"/>
        <w:rPr>
          <w:color w:val="000000"/>
          <w:u w:color="000000"/>
        </w:rPr>
        <w:sectPr w:rsidR="00A77B3E">
          <w:footerReference w:type="default" r:id="rId1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>Oświadczenie 3</w:t>
      </w:r>
    </w:p>
    <w:p w:rsidR="003E3710" w:rsidRDefault="003E3710">
      <w:pPr>
        <w:rPr>
          <w:rFonts w:eastAsia="Times New Roman" w:cs="Times New Roman"/>
          <w:szCs w:val="20"/>
        </w:rPr>
      </w:pPr>
    </w:p>
    <w:p w:rsidR="003E3710" w:rsidRDefault="006B7B4A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3E3710" w:rsidRDefault="006B7B4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dniu 31 grudnia 2023 r. weszło w życie rozporządzenie Rady Ministrów z dnia 8 grudnia 2023 r. zmieniające rozporządzenie w sprawie warunków </w:t>
      </w:r>
      <w:r>
        <w:rPr>
          <w:rFonts w:eastAsia="Times New Roman" w:cs="Times New Roman"/>
          <w:szCs w:val="20"/>
        </w:rPr>
        <w:t>udzielania zwolnień z podatku od nieruchomości oraz podatku od środków transportowych, stanowiących regionalną pomoc inwestycyjną, pomoc na kulturę i zachowanie dziedzictwa kulturowego, pomoc na infrastrukturę sportową i wielofunkcyjną infrastrukturę rekre</w:t>
      </w:r>
      <w:r>
        <w:rPr>
          <w:rFonts w:eastAsia="Times New Roman" w:cs="Times New Roman"/>
          <w:szCs w:val="20"/>
        </w:rPr>
        <w:t>acyjną, pomoc na infrastrukturę lokalną, pomoc na rzecz regionalnych portów lotniczych oraz pomoc na rzecz portów (Dz. U. z 2023 r. poz. 2765), którym przedłużono do dnia 31 grudnia 2026 r. ogólnopolski program pomocowy przewidujący udzielenie pomocy regio</w:t>
      </w:r>
      <w:r>
        <w:rPr>
          <w:rFonts w:eastAsia="Times New Roman" w:cs="Times New Roman"/>
          <w:szCs w:val="20"/>
        </w:rPr>
        <w:t>nalnej zgodnie z rozporządzeniem Komisji (UE) nr 651/2014.</w:t>
      </w:r>
    </w:p>
    <w:p w:rsidR="003E3710" w:rsidRDefault="006B7B4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przewiduje kontynuację możliwości udzielania przedsiębiorcom pomocy publicznej w formie zwolnienia od podatku od nieruchomości na warunkach określonych w uchwale oraz w rozporządz</w:t>
      </w:r>
      <w:r>
        <w:rPr>
          <w:rFonts w:eastAsia="Times New Roman" w:cs="Times New Roman"/>
          <w:szCs w:val="20"/>
        </w:rPr>
        <w:t>eniu Rady Ministrów z dnia 9 stycznia 2015 r. Ze zwolnienia od podatku skorzystają przedsiębiorcy, którzy na terenie miasta Bytomia zrealizują inwestycję początkową i utworzą nowe miejsca pracy związane z tą inwestycją.</w:t>
      </w:r>
    </w:p>
    <w:p w:rsidR="003E3710" w:rsidRDefault="006B7B4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daje przedsiębiorcom możliwo</w:t>
      </w:r>
      <w:r>
        <w:rPr>
          <w:rFonts w:eastAsia="Times New Roman" w:cs="Times New Roman"/>
          <w:szCs w:val="20"/>
        </w:rPr>
        <w:t>ść zmniejszenia kosztów prowadzonej działalności, a miastu korzyści społeczne w postaci utworzenia nowych miejsc pracy. Zmniejszenia obciążeń podatkowych poprzez zwolnienie od podatku od nieruchomości mają na celu poprawę atrakcyjności Bytomia jako miejsca</w:t>
      </w:r>
      <w:r>
        <w:rPr>
          <w:rFonts w:eastAsia="Times New Roman" w:cs="Times New Roman"/>
          <w:szCs w:val="20"/>
        </w:rPr>
        <w:t xml:space="preserve"> prowadzenia działalności gospodarczej oraz zachęcenie potencjalnych inwestorów do realizacji nowych zamierzeń gospodarczych i tworzenia nowych miejsc pracy na jego terenie.</w:t>
      </w:r>
    </w:p>
    <w:p w:rsidR="003E3710" w:rsidRDefault="006B7B4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Niniejsza uchwała nie podlega notyfikacji Komisji Europejskiej, jak również </w:t>
      </w:r>
      <w:r>
        <w:rPr>
          <w:rFonts w:eastAsia="Times New Roman" w:cs="Times New Roman"/>
          <w:szCs w:val="20"/>
        </w:rPr>
        <w:t>nie wymaga uzyskania opinii Prezesa Urzędu Ochrony Konkurencji i Konsumentów. Uchwała, po jej podjęciu, będzie wymagała przesłania do ewidencji Prezesa UOKiK, w terminie 30 dni od dnia wejścia w życie – art. 8 ust. 2 ustawy z dnia 30 kwietnia 2004 r. o pos</w:t>
      </w:r>
      <w:r>
        <w:rPr>
          <w:rFonts w:eastAsia="Times New Roman" w:cs="Times New Roman"/>
          <w:szCs w:val="20"/>
        </w:rPr>
        <w:t>tępowaniu w sprawach dotyczących pomocy publicznej (Dz. U. z 2023 r. poz. 702).</w:t>
      </w:r>
    </w:p>
    <w:sectPr w:rsidR="003E3710" w:rsidSect="003E3710">
      <w:footerReference w:type="default" r:id="rId15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7B4A" w:rsidRDefault="006B7B4A" w:rsidP="003E3710">
      <w:r>
        <w:separator/>
      </w:r>
    </w:p>
  </w:endnote>
  <w:endnote w:type="continuationSeparator" w:id="0">
    <w:p w:rsidR="006B7B4A" w:rsidRDefault="006B7B4A" w:rsidP="003E37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E3710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E3710" w:rsidRDefault="006B7B4A">
          <w:pPr>
            <w:rPr>
              <w:sz w:val="18"/>
            </w:rPr>
          </w:pPr>
          <w:r>
            <w:rPr>
              <w:sz w:val="18"/>
            </w:rPr>
            <w:t>Id: 12F7B626-7EEE-4FA5-8DE1-A7BF1EB0D3D0.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E3710" w:rsidRDefault="006B7B4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E37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85CC7">
            <w:rPr>
              <w:sz w:val="18"/>
            </w:rPr>
            <w:fldChar w:fldCharType="separate"/>
          </w:r>
          <w:r w:rsidR="00D85CC7">
            <w:rPr>
              <w:noProof/>
              <w:sz w:val="18"/>
            </w:rPr>
            <w:t>2</w:t>
          </w:r>
          <w:r w:rsidR="003E3710">
            <w:rPr>
              <w:sz w:val="18"/>
            </w:rPr>
            <w:fldChar w:fldCharType="end"/>
          </w:r>
        </w:p>
      </w:tc>
    </w:tr>
  </w:tbl>
  <w:p w:rsidR="003E3710" w:rsidRDefault="003E371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E3710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E3710" w:rsidRDefault="006B7B4A">
          <w:pPr>
            <w:rPr>
              <w:sz w:val="18"/>
            </w:rPr>
          </w:pPr>
          <w:r>
            <w:rPr>
              <w:sz w:val="18"/>
            </w:rPr>
            <w:t>Id: 12F7B626-7EEE-4FA</w:t>
          </w:r>
          <w:r>
            <w:rPr>
              <w:sz w:val="18"/>
            </w:rPr>
            <w:t>5-8DE1-A7BF1EB0D3D0.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E3710" w:rsidRDefault="006B7B4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E37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85CC7">
            <w:rPr>
              <w:sz w:val="18"/>
            </w:rPr>
            <w:fldChar w:fldCharType="separate"/>
          </w:r>
          <w:r w:rsidR="00D85CC7">
            <w:rPr>
              <w:noProof/>
              <w:sz w:val="18"/>
            </w:rPr>
            <w:t>5</w:t>
          </w:r>
          <w:r w:rsidR="003E3710">
            <w:rPr>
              <w:sz w:val="18"/>
            </w:rPr>
            <w:fldChar w:fldCharType="end"/>
          </w:r>
        </w:p>
      </w:tc>
    </w:tr>
  </w:tbl>
  <w:p w:rsidR="003E3710" w:rsidRDefault="003E3710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E3710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E3710" w:rsidRDefault="006B7B4A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12F7B626-7EEE-4FA5-8DE1-A7BF1EB0D3D0.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E3710" w:rsidRDefault="006B7B4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E37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85CC7">
            <w:rPr>
              <w:sz w:val="18"/>
            </w:rPr>
            <w:fldChar w:fldCharType="separate"/>
          </w:r>
          <w:r w:rsidR="00D85CC7">
            <w:rPr>
              <w:noProof/>
              <w:sz w:val="18"/>
            </w:rPr>
            <w:t>6</w:t>
          </w:r>
          <w:r w:rsidR="003E3710">
            <w:rPr>
              <w:sz w:val="18"/>
            </w:rPr>
            <w:fldChar w:fldCharType="end"/>
          </w:r>
        </w:p>
      </w:tc>
    </w:tr>
  </w:tbl>
  <w:p w:rsidR="003E3710" w:rsidRDefault="003E3710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E3710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E3710" w:rsidRDefault="006B7B4A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12F7B626-7EEE-4FA5-8DE1-A7BF1EB0D3D0.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E3710" w:rsidRDefault="006B7B4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E37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85CC7">
            <w:rPr>
              <w:sz w:val="18"/>
            </w:rPr>
            <w:fldChar w:fldCharType="separate"/>
          </w:r>
          <w:r w:rsidR="00D85CC7">
            <w:rPr>
              <w:noProof/>
              <w:sz w:val="18"/>
            </w:rPr>
            <w:t>7</w:t>
          </w:r>
          <w:r w:rsidR="003E3710">
            <w:rPr>
              <w:sz w:val="18"/>
            </w:rPr>
            <w:fldChar w:fldCharType="end"/>
          </w:r>
        </w:p>
      </w:tc>
    </w:tr>
  </w:tbl>
  <w:p w:rsidR="003E3710" w:rsidRDefault="003E3710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E3710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E3710" w:rsidRDefault="006B7B4A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12F7B626-7EEE-4FA5-8DE1-A7BF1EB0D3D0.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E3710" w:rsidRDefault="006B7B4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E37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85CC7">
            <w:rPr>
              <w:sz w:val="18"/>
            </w:rPr>
            <w:fldChar w:fldCharType="separate"/>
          </w:r>
          <w:r w:rsidR="00D85CC7">
            <w:rPr>
              <w:noProof/>
              <w:sz w:val="18"/>
            </w:rPr>
            <w:t>8</w:t>
          </w:r>
          <w:r w:rsidR="003E3710">
            <w:rPr>
              <w:sz w:val="18"/>
            </w:rPr>
            <w:fldChar w:fldCharType="end"/>
          </w:r>
        </w:p>
      </w:tc>
    </w:tr>
  </w:tbl>
  <w:p w:rsidR="003E3710" w:rsidRDefault="003E3710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E3710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E3710" w:rsidRDefault="006B7B4A">
          <w:pPr>
            <w:rPr>
              <w:sz w:val="18"/>
            </w:rPr>
          </w:pPr>
          <w:r>
            <w:rPr>
              <w:sz w:val="18"/>
            </w:rPr>
            <w:t>Id: 12F7B626-7EEE-4FA5-8DE1-A7BF1EB0D3D0.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E3710" w:rsidRDefault="006B7B4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E37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85CC7">
            <w:rPr>
              <w:sz w:val="18"/>
            </w:rPr>
            <w:fldChar w:fldCharType="separate"/>
          </w:r>
          <w:r w:rsidR="00D85CC7">
            <w:rPr>
              <w:noProof/>
              <w:sz w:val="18"/>
            </w:rPr>
            <w:t>9</w:t>
          </w:r>
          <w:r w:rsidR="003E3710">
            <w:rPr>
              <w:sz w:val="18"/>
            </w:rPr>
            <w:fldChar w:fldCharType="end"/>
          </w:r>
        </w:p>
      </w:tc>
    </w:tr>
  </w:tbl>
  <w:p w:rsidR="003E3710" w:rsidRDefault="003E371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7B4A" w:rsidRDefault="006B7B4A" w:rsidP="003E3710">
      <w:r>
        <w:separator/>
      </w:r>
    </w:p>
  </w:footnote>
  <w:footnote w:type="continuationSeparator" w:id="0">
    <w:p w:rsidR="006B7B4A" w:rsidRDefault="006B7B4A" w:rsidP="003E37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E3710"/>
    <w:rsid w:val="006B7B4A"/>
    <w:rsid w:val="00A77B3E"/>
    <w:rsid w:val="00CA2A55"/>
    <w:rsid w:val="00D85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E371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yperlink" Target="file:///C:\Users\etobor\AppData\Local\Temp\Legislator\3266A2AE-239D-48DB-BF0A-E2289EA2A66D\Zalacznik4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etobor\AppData\Local\Temp\Legislator\3266A2AE-239D-48DB-BF0A-E2289EA2A66D\Zalacznik1.pdf" TargetMode="Externa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file:///C:\Users\etobor\AppData\Local\Temp\Legislator\3266A2AE-239D-48DB-BF0A-E2289EA2A66D\Zalacznik3.pdf" TargetMode="External"/><Relationship Id="rId5" Type="http://schemas.openxmlformats.org/officeDocument/2006/relationships/endnotes" Target="endnotes.xml"/><Relationship Id="rId15" Type="http://schemas.openxmlformats.org/officeDocument/2006/relationships/footer" Target="footer6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file:///C:\Users\etobor\AppData\Local\Temp\Legislator\3266A2AE-239D-48DB-BF0A-E2289EA2A66D\Zalacznik2.pdf" TargetMode="Externa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2071</Words>
  <Characters>12432</Characters>
  <Application>Microsoft Office Word</Application>
  <DocSecurity>0</DocSecurity>
  <Lines>103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14475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zwolnień od podatku od nieruchomości w^ramach regionalnej pomocy inwestycyjnej na wspieranie inwestycji początkowej i^tworzenie nowych miejsc pracy związanych z^tą inwestycją na^terenie miasta Bytomia</dc:subject>
  <dc:creator>etobor</dc:creator>
  <cp:lastModifiedBy>etobor</cp:lastModifiedBy>
  <cp:revision>2</cp:revision>
  <dcterms:created xsi:type="dcterms:W3CDTF">2024-05-14T10:13:00Z</dcterms:created>
  <dcterms:modified xsi:type="dcterms:W3CDTF">2024-05-14T10:13:00Z</dcterms:modified>
  <cp:category>Akt prawny</cp:category>
</cp:coreProperties>
</file>