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I/2/24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Wiceprzewodniczących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funkcje Wiceprzewodniczących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Grzegorza Nowaka,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Joannę Stępień,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Andrzeja Wężyka.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19 ust. 1 ustawy o samorządzie gminnym, po przeprowadzeniu tajnego głosowania w trybie art. 23 ust. 4 i 5 Statutu Miasta Bytomia, Rada Miejska dokonuje wyboru Wiceprzewodniczących Rady.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35E31F73-DADF-4B6F-A204-29DF5FD596E2.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35E31F73-DADF-4B6F-A204-29DF5FD596E2.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I/2/24 z dnia 7 maja 2024 r.</dc:title>
  <dc:subject>w sprawie wyboru Wiceprzewodniczących Rady Miejskiej w^Bytomiu</dc:subject>
  <dc:creator>masocha</dc:creator>
  <cp:lastModifiedBy>masocha</cp:lastModifiedBy>
  <cp:revision>1</cp:revision>
  <dcterms:created xsi:type="dcterms:W3CDTF">2024-05-10T12:13:52Z</dcterms:created>
  <dcterms:modified xsi:type="dcterms:W3CDTF">2024-05-10T12:13:52Z</dcterms:modified>
  <cp:category>Akt prawny</cp:category>
</cp:coreProperties>
</file>