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XCI/1151/24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15 marca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XXI/279/19 Rady Miejskiej w Bytomiu w sprawie regulaminu utrzymania czystości i porządku na terenie miasta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XXI/279/19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regulaminu utrzymania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na terenie miasta Bytomia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2968),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uchwały, wprowadza się następujące zmiany: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nieczystości ciekłe gromadzone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zbiornikach bezodpływowych muszą być usuwane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nieruchomości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częstotliwością dostosowaną do ilości zużytej wody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sposób gwarantujący, że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nastąpi wypływ ze zbiornika, zwłaszcza wynikający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jego przepełnienia, wykluczający zanieczyszczenie gleby, wód podziemnych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powierzchniowych oraz zapobiegający powstawaniu procesów gnilnych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zbiorniku, jednak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rzadziej niż raz na kwartał;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 w:val="0"/>
        <w:spacing w:before="120" w:after="120" w:line="276" w:lineRule="auto"/>
        <w:ind w:left="793" w:right="0" w:hanging="340"/>
        <w:jc w:val="both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nieczystości ciekłe gromadzone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osadnikach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instalacjach przydomowych oczyszczalni ścieków muszą być usuwane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częstotliwością określoną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instrukcji obsługi przydomowej oczyszczalni ścieków, jednak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rzadziej niż raz na rok.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Niniejsza uchwała podejmowana jest w związku nowelizacją ustawy o utrzymaniu czystości i porządku w gminach, która spowodowała konieczność wprowadzenia do uchwały nowej definicji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nieczystości ciekłych", obejmującej swym zakresem nieczystości ciekłe gromadzone przejściowo zarówno w zbiornikach bezodpływowych, jak i w osadnikach w instalacjach przydomowych oczyszczalni ścieków.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C1A204F3-2A37-453E-AF84-3EE7B40EA941.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C1A204F3-2A37-453E-AF84-3EE7B40EA941.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XCI/1151/24 z dnia 15 marca 2024 r.</dc:title>
  <dc:subject>zmieniająca uchwałę nr XXI/279/19 Rady Miejskiej w^Bytomiu w^sprawie regulaminu utrzymania czystości i^porządku na terenie miasta Bytomia</dc:subject>
  <dc:creator>masocha</dc:creator>
  <cp:lastModifiedBy>masocha</cp:lastModifiedBy>
  <cp:revision>1</cp:revision>
  <dcterms:created xsi:type="dcterms:W3CDTF">2024-03-18T11:42:08Z</dcterms:created>
  <dcterms:modified xsi:type="dcterms:W3CDTF">2024-03-18T11:42:08Z</dcterms:modified>
  <cp:category>Akt prawny</cp:category>
</cp:coreProperties>
</file>