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XCI/1139/24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pozycje nr: 1.1.2.7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1.3.1.32 oraz  zmienia się pozycje nr: 1.3.2.13, 1.3.2.16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1.3.2.20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XCI/1139/24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15 marca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2024–2046 w załączniku nr 2 pn. „Wykaz przedsięwzięć wieloletnich”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1.1.2.7 pn. „Modernizacja i poprawa stanu technicznego budynku Bytomskiego Centrum Kultury oraz zakup wyposażenia” w związku z planowanym złożeniem wniosku o dofinansowanie zadania w ramach działania: Zwiększenie roli kultury i turystyki w rozwoju subregionalnym - ZIT programu Fundusze Europejskie dla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Śląskiego 2021 - 2027. Łączne nakłady finansowe zadania planuje się w kwocie 17.890.976 zł, w tym wkład własny miasta w wysokości 5.394.306 zł oraz środki unijne w kwocie 12.496.670 zł. W ramach realizacji projektu planuje się między innymi: modernizację dachu wraz z wymianą urządzeń do klimatyzacji i wentylacji, rozbudowę drugiego piętra o kameralną salę widowiskową (do 200 miejsc), wymianę drewnianej podłogi scenicznej i zakup oświetlenia do sali widowiskowej, zakup projektora cyfrowego wraz z kompatybilnym ekranem, wymianę podłogi w Centrum Sztuki Współczesnej Kronika wraz z naprawą stolarki schodowej;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1.3.1.32 pn. „Gminny Program Rewitalizacji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zakończeniem perspektywy finansowej na lata 2014 - 2020 i w konsekwencji zakończeniem realizacji projektów ujętych w Gminnym Programie Rewitalizacji oraz zmianą zapisów ustawy o rewitalizacji zachodzi konieczność opracowania nowego Gminnego Programu Rewitalizacji, tj. m.in.: przygotowania dokumentu diagnozy delimitacyjnej, opracowania projektu zmiany uchwały wraz z przeprowadzeniem konsultacji oraz opracowania map w wersji wektorowej na potrzeby Systemu Informacji Przestrzennej Województwa Śląskiego. Łączne nakłady finansowe zadania planowanego do realizacji w latach 2024 - 2025 w Wydziale Strategii, Funduszy Europejskich i Obsługi Inwestora planuje się w kwocie 125.000 zł, w tym w roku 2024 w wysokości 23.000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1.3.2.16 pn. „Modernizacja źródła ciepła w lokalach w ramach: Programu Ciepłe Mieszkanie w Gminie Bytom rok 2022”. W związku z pismem Wojewódzkiego Funduszu Ochrony Środowiska i Gospodarki Wodnej w Katowicach z dnia 23 lutego br. w sprawie zmiany pierwotnie planowanych założeń dotyczących realizacji przedmiotowego programu przenosi się niewykorzystane w budżecie Wydziału Inżynierii Środowiska w roku 2023 nakłady finansowe w wysokości 5.861.771 zł do roku 2025 w kwocie 3.907.847 zł i do roku 2026 w wysokości 1.953.924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w związku z koniecznością wypłaty odszkodowania za zajęcie nieruchomości na realizację inwestycji drogowej (ZRID) w zakresie zadań realizowanych w Miejskim Zarządzie Dróg i Mostów,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1.3.2.13 pn. „Przebudowa ul. Nickla wraz ze skrzyżowaniem z ul. Daleką (RFIL)”. Zwiększa się łączne i planowane na 2024 rok nakłady finansowe zadania o kwotę 10.000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– nr 1.3.2.20 pn. „Przebudowa ulicy bocznej Estreichera”. Zmniejsza się łączne i planowane na 2024 rok nakłady finansowe przedsięwzięcia o kwotę 10.000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Zmiany planu wydatków budżetu miasta na 2024 rok wynikające z § 1 niniejszej uchwały, dokonane zostaną w trybie odrębnej uchwały rady miejskiej.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AC4F7C9E-668A-458A-AA64-BDE1732AF6BA.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AC4F7C9E-668A-458A-AA64-BDE1732AF6BA.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AC4F7C9E-668A-458A-AA64-BDE1732AF6BA.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XCI/1139/24 z dnia 15 marca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2024-03-18T11:36:19Z</dcterms:created>
  <dcterms:modified xsi:type="dcterms:W3CDTF">2024-03-18T11:36:19Z</dcterms:modified>
  <cp:category>Akt prawny</cp:category>
</cp:coreProperties>
</file>