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XCI/1138/24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 Specjalistycznego Nr 1 w Bytomiu, za 2022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2023 r. poz. 991, z późn. zm.), podmiot tworzący samodzielny publiczny zakład opieki zdrowotnej może pokryć stratę netto za rok obrotowy tego zakładu w kwocie, jaka nie może być pokryta przez zakład we własnym zakresie w sposób określony w art. 57 ust. 2 pkt 1 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2022 r., poddanym badaniu przez niezależnego biegłego rewidenta, udokumentowanym sprawozdaniem i opinią z dnia 19 kwietnia 2023 r. oraz zatwierdzonym przez Prezydenta Bytomia w dniu 19 czerwca 2023 r., Szpital poniósł stratę netto w wysokości - 18.145.558,11 zł, która po dodaniu kosztów amortyzacji w wysokości 2.764.783,73 zł, zamyka się kwotą -15.380.774,38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1.000.000 zł, na pokrycie części straty netto za 2022 rok. Nadmienia się, że uchwałą Nr LXXXVII/1091/23 Rady Miejskiej w Bytomiu z dnia 18 grudnia 2023 r. przeznaczono już na pokrycie części straty netto za 2022 rok kwotę 1.000.000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8EE2D6B4-7568-4076-9EFE-DE04852D67D2.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8EE2D6B4-7568-4076-9EFE-DE04852D67D2.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XCI/1138/24 z dnia 15 marca 2024 r.</dc:title>
  <dc:subject>w sprawie pokrycia przez Miasto Bytom części straty netto Szpitala^Specjalistycznego^Nr^1^w^Bytomiu, za 2022^r.</dc:subject>
  <dc:creator>masocha</dc:creator>
  <cp:lastModifiedBy>masocha</cp:lastModifiedBy>
  <cp:revision>1</cp:revision>
  <dcterms:created xsi:type="dcterms:W3CDTF">2024-03-18T11:35:59Z</dcterms:created>
  <dcterms:modified xsi:type="dcterms:W3CDTF">2024-03-18T11:35:59Z</dcterms:modified>
  <cp:category>Akt prawny</cp:category>
</cp:coreProperties>
</file>