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2.4.0 -->
  <w:body>
    <w:p w:rsidR="00A77B3E">
      <w:pPr>
        <w:spacing w:line="276"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LXXXIX/1134/24</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76" w:lineRule="auto"/>
        <w:ind w:left="0"/>
        <w:jc w:val="center"/>
        <w:rPr>
          <w:rFonts w:ascii="Arial" w:eastAsia="Arial" w:hAnsi="Arial" w:cs="Arial"/>
          <w:b/>
          <w:caps/>
          <w:sz w:val="24"/>
        </w:rPr>
      </w:pPr>
      <w:r>
        <w:rPr>
          <w:rFonts w:ascii="Arial" w:eastAsia="Arial" w:hAnsi="Arial" w:cs="Arial"/>
          <w:b w:val="0"/>
          <w:caps w:val="0"/>
          <w:sz w:val="24"/>
        </w:rPr>
        <w:t>z dnia 26 lutego 2024 r.</w:t>
      </w:r>
    </w:p>
    <w:p w:rsidR="00A77B3E">
      <w:pPr>
        <w:keepNext/>
        <w:spacing w:before="0" w:after="480" w:line="276"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wydania opinii o lokalizacji kasyna gry w Bytomiu</w:t>
      </w:r>
      <w:r>
        <w:rPr>
          <w:rFonts w:ascii="Arial" w:eastAsia="Arial" w:hAnsi="Arial" w:cs="Arial"/>
          <w:b/>
          <w:caps w:val="0"/>
          <w:sz w:val="24"/>
        </w:rPr>
        <w:br/>
      </w:r>
      <w:r>
        <w:rPr>
          <w:rFonts w:ascii="Arial" w:eastAsia="Arial" w:hAnsi="Arial" w:cs="Arial"/>
          <w:b/>
          <w:caps w:val="0"/>
          <w:sz w:val="24"/>
        </w:rPr>
        <w:t>przy ul. Browarnianej 1 i Józefa Jainty 22</w:t>
      </w:r>
    </w:p>
    <w:p w:rsidR="00A77B3E">
      <w:pPr>
        <w:keepNext w:val="0"/>
        <w:keepLines/>
        <w:spacing w:before="120" w:after="120" w:line="276"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40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późn.zm.)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związku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35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15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19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listopada 2009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grach hazardowych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227) uchwala się, co następuje:</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Wydaje się pozytywną opinię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lokalizacji kasyna gry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budynku położonym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przy ul. Browarnianej 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Józefa Jainty 22, na rzecz Optimmum sp.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o.o.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siedzibą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Warszawie, ul. Prosta 68.</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Uchwała podlega przekazaniu Optimmum sp.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o.o.</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Wykonanie uchwały powierza się Przewodniczącemu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w:t>
      </w:r>
    </w:p>
    <w:p w:rsidR="00A77B3E">
      <w:pPr>
        <w:keepNext/>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4.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dniem podjęcia.</w:t>
      </w:r>
    </w:p>
    <w:p w:rsidR="00A77B3E">
      <w:pPr>
        <w:keepNext/>
        <w:keepLines/>
        <w:spacing w:before="120" w:after="120" w:line="276" w:lineRule="auto"/>
        <w:ind w:left="0" w:right="0" w:firstLine="340"/>
        <w:jc w:val="left"/>
        <w:rPr>
          <w:rFonts w:ascii="Arial" w:eastAsia="Arial" w:hAnsi="Arial" w:cs="Arial"/>
          <w:b w:val="0"/>
          <w:caps w:val="0"/>
          <w:strike w:val="0"/>
          <w:color w:val="auto"/>
          <w:sz w:val="24"/>
          <w:u w:val="none"/>
        </w:rPr>
      </w:pPr>
    </w:p>
    <w:p w:rsidR="00A77B3E">
      <w:pPr>
        <w:keepNext/>
        <w:spacing w:before="0" w:after="0"/>
        <w:rPr>
          <w:rFonts w:ascii="Arial" w:eastAsia="Arial" w:hAnsi="Arial" w:cs="Arial"/>
          <w:b w:val="0"/>
          <w:i w:val="0"/>
          <w:caps w:val="0"/>
          <w:strike w:val="0"/>
          <w:color w:val="auto"/>
          <w:sz w:val="24"/>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Michał Staniszewski</w:t>
            </w:r>
          </w:p>
        </w:tc>
      </w:tr>
    </w:tbl>
    <w:p w:rsidR="00A77B3E">
      <w:pPr>
        <w:keepNext/>
        <w:spacing w:before="0" w:after="0"/>
        <w:rPr>
          <w:rFonts w:ascii="Arial" w:eastAsia="Arial" w:hAnsi="Arial" w:cs="Arial"/>
          <w:b w:val="0"/>
          <w:i w:val="0"/>
          <w:caps w:val="0"/>
          <w:strike w:val="0"/>
          <w:color w:val="auto"/>
          <w:sz w:val="24"/>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Zgodnie z art. 32 ust. 1 ustawy z dnia 19 listopada 2009 roku o grach hazardowych na prowadzenie kasyna gry niezbędna jest koncesja, której udziela minister właściwy do spraw finansów publicznych.</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Stosownie do przepisu art. 35</w:t>
      </w:r>
      <w:r>
        <w:rPr>
          <w:rFonts w:eastAsia="Times New Roman" w:cs="Times New Roman"/>
          <w:szCs w:val="20"/>
        </w:rPr>
        <w:t xml:space="preserve"> </w:t>
      </w:r>
      <w:r>
        <w:rPr>
          <w:rFonts w:eastAsia="Times New Roman" w:cs="Times New Roman"/>
          <w:szCs w:val="20"/>
        </w:rPr>
        <w:t>pkt 15</w:t>
      </w:r>
      <w:r>
        <w:rPr>
          <w:rFonts w:eastAsia="Times New Roman" w:cs="Times New Roman"/>
          <w:szCs w:val="20"/>
        </w:rPr>
        <w:t xml:space="preserve"> </w:t>
      </w:r>
      <w:r>
        <w:rPr>
          <w:rFonts w:eastAsia="Times New Roman" w:cs="Times New Roman"/>
          <w:szCs w:val="20"/>
        </w:rPr>
        <w:t>przywołanej wyżej ustawy wniosek o udzielenie koncesji na prowadzenie kasyna gry powinien zawierać między innymi pozytywną opinię rady gminy o lokalizacji kasyna. Z treści ww. przepisu wynika w sposób jednoznaczny, iż opinia rady gminy powinna dotyczyć jedynie lokalizacji kasyna gry. Ustawodawca nie sprecyzował przesłanek oceny lokalizacji kasyna gry, pozostawiając to swobodnemu uznaniu organu uprawnionemu do wydania opinii. Swoboda uznania organu może odnosić się jedynie do oceny proponowanego przez wnioskodawcę miejsca usytuowania kasyna gry, natomiast nie może odnosić się do kwestii niezwiązanych z lokalizacją. Pozytywna opinia rady gminy o lokalizacji kasyna gry nie jest dla Ministra Finansów wiążąca.</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 dniu 31 października 2023 roku Optimmum sp. z o.o</w:t>
      </w:r>
      <w:r>
        <w:rPr>
          <w:rFonts w:eastAsia="Times New Roman" w:cs="Times New Roman"/>
          <w:szCs w:val="20"/>
        </w:rPr>
        <w:t>.</w:t>
      </w:r>
      <w:r>
        <w:rPr>
          <w:rFonts w:eastAsia="Times New Roman" w:cs="Times New Roman"/>
          <w:szCs w:val="20"/>
        </w:rPr>
        <w:t xml:space="preserve"> z siedzibą w Warszawie, ul. Prosta 68 zwróciła się do Rady Miejskiej w Bytomiu z wnioskiem o wydanie pozytywnej opinii o lokalizacji kasyna gry w budynku położonym w Bytomiu przy ul. Browarnianej 1</w:t>
      </w:r>
      <w:r>
        <w:rPr>
          <w:rFonts w:eastAsia="Times New Roman" w:cs="Times New Roman"/>
          <w:szCs w:val="20"/>
        </w:rPr>
        <w:t xml:space="preserve"> </w:t>
      </w:r>
      <w:r>
        <w:rPr>
          <w:rFonts w:eastAsia="Times New Roman" w:cs="Times New Roman"/>
          <w:szCs w:val="20"/>
        </w:rPr>
        <w:t>i Józefa Jainty 22.</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Komisja Komunalna i Porządku Publicznego Rady Miejskiej w Bytomiu po przeprowadzonej dyskusji na posiedzeniu w dniu 22 lutego 2024 roku, w głosowaniu podjęła inicjatywę uchwałodawczą w sprawie wydania pozytywnej opinii o lokalizacji kasyna gry w budynku położonym w Bytomiu przy ul. Browarnianej 1 i Józefa Jainty 22, na rzecz Optimmum sp. z o.o</w:t>
      </w:r>
      <w:r>
        <w:rPr>
          <w:rFonts w:eastAsia="Times New Roman" w:cs="Times New Roman"/>
          <w:szCs w:val="20"/>
        </w:rPr>
        <w:t>.</w:t>
      </w:r>
      <w:r>
        <w:rPr>
          <w:rFonts w:eastAsia="Times New Roman" w:cs="Times New Roman"/>
          <w:szCs w:val="20"/>
        </w:rPr>
        <w:t xml:space="preserve"> z siedzibą w Warszawie, ul. Prosta 68 i wnosi o podjęcie niniejszej uchwały przez Radę Miejską.</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3E63BE3E-14A6-45FB-AC4F-257D28966C8D.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3E63BE3E-14A6-45FB-AC4F-257D28966C8D.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lang w:val="pl-PL" w:eastAsia="pl-PL" w:bidi="pl-PL"/>
    </w:rPr>
  </w:style>
  <w:style w:type="character" w:default="1" w:styleId="DefaultParagraphFont">
    <w:name w:val="Default Paragraph Font"/>
    <w:semiHidden/>
    <w:rPr>
      <w:lang w:val="pl-PL" w:eastAsia="pl-PL" w:bidi="pl-PL"/>
    </w:rPr>
  </w:style>
  <w:style w:type="table" w:default="1" w:styleId="TableNormal">
    <w:name w:val="Normal Table"/>
    <w:semiHidden/>
    <w:rPr>
      <w:lang w:val="pl-PL" w:eastAsia="pl-PL" w:bidi="pl-PL"/>
    </w:rPr>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LXXXIX/1134/24 z dnia 26 lutego 2024 r.</dc:title>
  <dc:subject>w sprawie wydania opinii o^lokalizacji kasyna gry w^Bytomiu
przy ul.^Browarnianej 1^i^Józefa^Jainty^22</dc:subject>
  <dc:creator>masocha</dc:creator>
  <cp:lastModifiedBy>masocha</cp:lastModifiedBy>
  <cp:revision>1</cp:revision>
  <dcterms:created xsi:type="dcterms:W3CDTF">2024-02-27T11:49:32Z</dcterms:created>
  <dcterms:modified xsi:type="dcterms:W3CDTF">2024-02-27T11:49:32Z</dcterms:modified>
  <cp:category>Akt prawny</cp:category>
</cp:coreProperties>
</file>