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LXXXIX/1127/24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lutego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przyjęcia Miejskiego Programu Zapobiegania Przestępczości oraz Ochrony Bezpieczeństwa Obywateli i Porządku Publicznego w Bytomiu na lata 2024-2026</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Przyjmuje się Miejski Program Zapobiegania Przestępczości oraz Ochrony Bezpieczeństwa Obywateli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na lata 2024-2026, stanowiący załącznik do niniejszej uchwały.</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276" w:lineRule="auto"/>
        <w:ind w:left="4623" w:right="0" w:firstLine="0"/>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Załącznik do uchwały Nr LXXXIX/1127/24</w:t>
      </w:r>
      <w:r>
        <w:rPr>
          <w:rFonts w:ascii="Arial" w:eastAsia="Arial" w:hAnsi="Arial" w:cs="Arial"/>
          <w:b w:val="0"/>
          <w:i w:val="0"/>
          <w:caps w:val="0"/>
          <w:strike w:val="0"/>
          <w:color w:val="auto"/>
          <w:sz w:val="24"/>
          <w:u w:val="none"/>
          <w:vertAlign w:val="baseline"/>
        </w:rPr>
        <w:br/>
      </w:r>
      <w:r>
        <w:rPr>
          <w:rFonts w:ascii="Arial" w:eastAsia="Arial" w:hAnsi="Arial" w:cs="Arial"/>
          <w:b w:val="0"/>
          <w:i w:val="0"/>
          <w:caps w:val="0"/>
          <w:strike w:val="0"/>
          <w:color w:val="auto"/>
          <w:sz w:val="24"/>
          <w:u w:val="none"/>
          <w:vertAlign w:val="baseline"/>
        </w:rPr>
        <w:t>Rady Miejskiej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r>
        <w:rPr>
          <w:rFonts w:ascii="Arial" w:eastAsia="Arial" w:hAnsi="Arial" w:cs="Arial"/>
          <w:b w:val="0"/>
          <w:i w:val="0"/>
          <w:caps w:val="0"/>
          <w:strike w:val="0"/>
          <w:color w:val="auto"/>
          <w:sz w:val="24"/>
          <w:u w:val="none"/>
          <w:vertAlign w:val="baseline"/>
        </w:rPr>
        <w:br/>
      </w:r>
      <w:r>
        <w:rPr>
          <w:rFonts w:ascii="Arial" w:eastAsia="Arial" w:hAnsi="Arial" w:cs="Arial"/>
          <w:b w:val="0"/>
          <w:i w:val="0"/>
          <w:caps w:val="0"/>
          <w:strike w:val="0"/>
          <w:color w:val="auto"/>
          <w:sz w:val="24"/>
          <w:u w:val="none"/>
          <w:vertAlign w:val="baseline"/>
        </w:rPr>
        <w:t>z dnia 26</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lutego 2024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auto"/>
          <w:sz w:val="24"/>
          <w:u w:val="none"/>
          <w:vertAlign w:val="baseline"/>
        </w:rPr>
      </w:pPr>
      <w:r>
        <w:rPr>
          <w:rFonts w:ascii="Arial" w:eastAsia="Arial" w:hAnsi="Arial" w:cs="Arial"/>
          <w:b/>
          <w:i w:val="0"/>
          <w:caps w:val="0"/>
          <w:strike w:val="0"/>
          <w:color w:val="auto"/>
          <w:sz w:val="24"/>
          <w:u w:val="none"/>
          <w:vertAlign w:val="baseline"/>
        </w:rPr>
        <w:t>Miejski Program Zapobiegania Przestępczości oraz Ochrony</w:t>
      </w:r>
      <w:r>
        <w:rPr>
          <w:rFonts w:ascii="Arial" w:eastAsia="Arial" w:hAnsi="Arial" w:cs="Arial"/>
          <w:b/>
          <w:i w:val="0"/>
          <w:caps w:val="0"/>
          <w:strike w:val="0"/>
          <w:color w:val="auto"/>
          <w:sz w:val="24"/>
          <w:u w:val="none"/>
          <w:vertAlign w:val="baseline"/>
        </w:rPr>
        <w:br/>
      </w:r>
      <w:r>
        <w:rPr>
          <w:rFonts w:ascii="Arial" w:eastAsia="Arial" w:hAnsi="Arial" w:cs="Arial"/>
          <w:b/>
          <w:i w:val="0"/>
          <w:caps w:val="0"/>
          <w:strike w:val="0"/>
          <w:color w:val="auto"/>
          <w:sz w:val="24"/>
          <w:u w:val="none"/>
          <w:vertAlign w:val="baseline"/>
        </w:rPr>
        <w:t>Bezpieczeństwa Obywateli i</w:t>
      </w:r>
      <w:r>
        <w:rPr>
          <w:rFonts w:ascii="Arial" w:eastAsia="Arial" w:hAnsi="Arial" w:cs="Arial"/>
          <w:b/>
          <w:i w:val="0"/>
          <w:caps w:val="0"/>
          <w:strike w:val="0"/>
          <w:color w:val="auto"/>
          <w:sz w:val="24"/>
          <w:u w:val="none"/>
          <w:vertAlign w:val="baseline"/>
        </w:rPr>
        <w:t> </w:t>
      </w:r>
      <w:r>
        <w:rPr>
          <w:rFonts w:ascii="Arial" w:eastAsia="Arial" w:hAnsi="Arial" w:cs="Arial"/>
          <w:b/>
          <w:i w:val="0"/>
          <w:caps w:val="0"/>
          <w:strike w:val="0"/>
          <w:color w:val="auto"/>
          <w:sz w:val="24"/>
          <w:u w:val="none"/>
          <w:vertAlign w:val="baseline"/>
        </w:rPr>
        <w:t>Porządku Publicznego</w:t>
      </w:r>
      <w:r>
        <w:rPr>
          <w:rFonts w:ascii="Arial" w:eastAsia="Arial" w:hAnsi="Arial" w:cs="Arial"/>
          <w:b/>
          <w:i w:val="0"/>
          <w:caps w:val="0"/>
          <w:strike w:val="0"/>
          <w:color w:val="auto"/>
          <w:sz w:val="24"/>
          <w:u w:val="none"/>
          <w:vertAlign w:val="baseline"/>
        </w:rPr>
        <w:br/>
      </w:r>
      <w:r>
        <w:rPr>
          <w:rFonts w:ascii="Arial" w:eastAsia="Arial" w:hAnsi="Arial" w:cs="Arial"/>
          <w:b/>
          <w:i w:val="0"/>
          <w:caps w:val="0"/>
          <w:strike w:val="0"/>
          <w:color w:val="auto"/>
          <w:sz w:val="24"/>
          <w:u w:val="none"/>
          <w:vertAlign w:val="baseline"/>
        </w:rPr>
        <w:t>w Bytomiu na lata 2024-2026</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1. </w:t>
      </w:r>
      <w:r>
        <w:rPr>
          <w:rFonts w:ascii="Arial" w:eastAsia="Arial" w:hAnsi="Arial" w:cs="Arial"/>
          <w:b w:val="0"/>
          <w:i w:val="0"/>
          <w:caps w:val="0"/>
          <w:strike w:val="0"/>
          <w:color w:val="auto"/>
          <w:sz w:val="24"/>
          <w:u w:val="none"/>
          <w:vertAlign w:val="baseline"/>
        </w:rPr>
        <w:t>Ogólne założenia</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Miejski Program Zapobiegania Przestępczości oraz Ochrony Bezpieczeństwa Obywateli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na lata 2024-2026 jest wynikiem realizacji obowiązku ustawowego zawartego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treści 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9b oraz 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38a ustawy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czerwca 1998</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samorządzie powiatowym (Dz.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2022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poz.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1526,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późn. zm.).</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Program opiera się na zintegrowanym systemie ochrony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zasadach współpracy poszczególnych partnerów, realizujących zadania na różnych płaszczyznach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obszarach strefy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Program będzie funkcjonował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formule ciągłego, kompleksowego, zdecydowanego podejmowania działań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przedsięwzięć mających na celu eliminowanie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ograniczanie negatywnych zjawisk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zachowań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przestrzeni publicznej, które budzą sprzeciw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poczucie zagrożenia. Będzie to program działań zespołowych podejmowanych przez wszystkich uczestników na rzecz poprawy bezpieczeństwa ogólnego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utrzymania ładu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na terenie miasta Bytomia.</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2. </w:t>
      </w:r>
      <w:r>
        <w:rPr>
          <w:rFonts w:ascii="Arial" w:eastAsia="Arial" w:hAnsi="Arial" w:cs="Arial"/>
          <w:b w:val="0"/>
          <w:i w:val="0"/>
          <w:caps w:val="0"/>
          <w:strike w:val="0"/>
          <w:color w:val="auto"/>
          <w:sz w:val="24"/>
          <w:u w:val="none"/>
          <w:vertAlign w:val="baseline"/>
        </w:rPr>
        <w:t>Cel programu</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Celem Programu Zapobiegania Przestępczości oraz Ochrony Bezpieczeństwa Obywateli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na lata 2024-2026 jest odczuwalne podniesienie poziomu bezpieczeństwa – już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okresie jego realizacji. Szczególny nacisk zostanie położony na ten aspekt bezpieczeństwa publicznego, który dotyczy zwalczania przestępczości najbardziej uciążliwej dla mieszkańców miasta Bytomia. Podejmowane również będą inicjatywy mające na celu usuwanie przyczyn zagrożeń. Wymagać to będzie podejmowania, obok działań represyjnych, długofalowych działań profilaktyczno-prewencyjnych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wychowawczych.</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Program przyjmuje założenie, że dla osiągnięcia zakładanych celów niezbędne będzie podniesienie wzrostu świadomości społecznej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zakresie wspólnego działania dla poprawy bezpieczeństwa, przeciwdziałania przestępczości oraz innym zagrożeniom.</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3. </w:t>
      </w:r>
      <w:r>
        <w:rPr>
          <w:rFonts w:ascii="Arial" w:eastAsia="Arial" w:hAnsi="Arial" w:cs="Arial"/>
          <w:b w:val="0"/>
          <w:i w:val="0"/>
          <w:caps w:val="0"/>
          <w:strike w:val="0"/>
          <w:color w:val="auto"/>
          <w:sz w:val="24"/>
          <w:u w:val="none"/>
          <w:vertAlign w:val="baseline"/>
        </w:rPr>
        <w:t>Podmioty zaangażowane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realizację programu</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Podmioty zaangażowane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realizację programu: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Wydział Zarządzania Kryzysowego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inne komórki organizacyjne Urzędu Miejskiego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Komenda Miejska Policji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Straż Miejska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4) </w:t>
      </w:r>
      <w:r>
        <w:rPr>
          <w:rFonts w:ascii="Arial" w:eastAsia="Arial" w:hAnsi="Arial" w:cs="Arial"/>
          <w:b w:val="0"/>
          <w:i w:val="0"/>
          <w:caps w:val="0"/>
          <w:strike w:val="0"/>
          <w:color w:val="auto"/>
          <w:sz w:val="24"/>
          <w:u w:val="none"/>
          <w:vertAlign w:val="baseline"/>
        </w:rPr>
        <w:t>Komenda Miejska Państwowej Straży Pożarnej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5) </w:t>
      </w:r>
      <w:r>
        <w:rPr>
          <w:rFonts w:ascii="Arial" w:eastAsia="Arial" w:hAnsi="Arial" w:cs="Arial"/>
          <w:b w:val="0"/>
          <w:i w:val="0"/>
          <w:caps w:val="0"/>
          <w:strike w:val="0"/>
          <w:color w:val="auto"/>
          <w:sz w:val="24"/>
          <w:u w:val="none"/>
          <w:vertAlign w:val="baseline"/>
        </w:rPr>
        <w:t>Ośrodek Interwencji Kryzysowej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6) </w:t>
      </w:r>
      <w:r>
        <w:rPr>
          <w:rFonts w:ascii="Arial" w:eastAsia="Arial" w:hAnsi="Arial" w:cs="Arial"/>
          <w:b w:val="0"/>
          <w:i w:val="0"/>
          <w:caps w:val="0"/>
          <w:strike w:val="0"/>
          <w:color w:val="auto"/>
          <w:sz w:val="24"/>
          <w:u w:val="none"/>
          <w:vertAlign w:val="baseline"/>
        </w:rPr>
        <w:t>Centrum Przeciwdziałania Uzależnieniom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7) </w:t>
      </w:r>
      <w:r>
        <w:rPr>
          <w:rFonts w:ascii="Arial" w:eastAsia="Arial" w:hAnsi="Arial" w:cs="Arial"/>
          <w:b w:val="0"/>
          <w:i w:val="0"/>
          <w:caps w:val="0"/>
          <w:strike w:val="0"/>
          <w:color w:val="auto"/>
          <w:sz w:val="24"/>
          <w:u w:val="none"/>
          <w:vertAlign w:val="baseline"/>
        </w:rPr>
        <w:t>Miejski Zarząd Dróg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Mostów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8) </w:t>
      </w:r>
      <w:r>
        <w:rPr>
          <w:rFonts w:ascii="Arial" w:eastAsia="Arial" w:hAnsi="Arial" w:cs="Arial"/>
          <w:b w:val="0"/>
          <w:i w:val="0"/>
          <w:caps w:val="0"/>
          <w:strike w:val="0"/>
          <w:color w:val="auto"/>
          <w:sz w:val="24"/>
          <w:u w:val="none"/>
          <w:vertAlign w:val="baseline"/>
        </w:rPr>
        <w:t>Zespół Interdyscyplinarny ds. Przeciwdziałania Przemocy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Rodzinie;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9) </w:t>
      </w:r>
      <w:r>
        <w:rPr>
          <w:rFonts w:ascii="Arial" w:eastAsia="Arial" w:hAnsi="Arial" w:cs="Arial"/>
          <w:b w:val="0"/>
          <w:i w:val="0"/>
          <w:caps w:val="0"/>
          <w:strike w:val="0"/>
          <w:color w:val="auto"/>
          <w:sz w:val="24"/>
          <w:u w:val="none"/>
          <w:vertAlign w:val="baseline"/>
        </w:rPr>
        <w:t>Miejska Komisja Rozwiązywania Problemów Alkoholowych;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10) </w:t>
      </w:r>
      <w:r>
        <w:rPr>
          <w:rFonts w:ascii="Arial" w:eastAsia="Arial" w:hAnsi="Arial" w:cs="Arial"/>
          <w:b w:val="0"/>
          <w:i w:val="0"/>
          <w:caps w:val="0"/>
          <w:strike w:val="0"/>
          <w:color w:val="auto"/>
          <w:sz w:val="24"/>
          <w:u w:val="none"/>
          <w:vertAlign w:val="baseline"/>
        </w:rPr>
        <w:t>inne podmioty, działające na rzecz poprawy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na terenie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Zadania programu koordynuje Prezydent Miasta jako przewodniczący Komisji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lub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jego imieniu naczelnik Wydziału Zarządzania Kryzysowego – Pełnomocnik Prezydenta ds. Bezpieczeństwa Miasta przy pomocy członków Komisji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4. </w:t>
      </w:r>
      <w:r>
        <w:rPr>
          <w:rFonts w:ascii="Arial" w:eastAsia="Arial" w:hAnsi="Arial" w:cs="Arial"/>
          <w:b w:val="0"/>
          <w:i w:val="0"/>
          <w:caps w:val="0"/>
          <w:strike w:val="0"/>
          <w:color w:val="auto"/>
          <w:sz w:val="24"/>
          <w:u w:val="none"/>
          <w:vertAlign w:val="baseline"/>
        </w:rPr>
        <w:t>Struktura organizacyjna programu</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Poziom koordynacyjny: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obrady plenarne Komisji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posiedzenia Miejskiego Zespołu ds. Koordynacji Działań Zewnętrznych Komendy Miejskiej Policji;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posiedzenia Powiatowego Zespołu Zarządzania Kryzysowego;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4) </w:t>
      </w:r>
      <w:r>
        <w:rPr>
          <w:rFonts w:ascii="Arial" w:eastAsia="Arial" w:hAnsi="Arial" w:cs="Arial"/>
          <w:b w:val="0"/>
          <w:i w:val="0"/>
          <w:caps w:val="0"/>
          <w:strike w:val="0"/>
          <w:color w:val="auto"/>
          <w:sz w:val="24"/>
          <w:u w:val="none"/>
          <w:vertAlign w:val="baseline"/>
        </w:rPr>
        <w:t>posiedzenia Komisji Komunalnej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Rady Miejskiej;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5) </w:t>
      </w:r>
      <w:r>
        <w:rPr>
          <w:rFonts w:ascii="Arial" w:eastAsia="Arial" w:hAnsi="Arial" w:cs="Arial"/>
          <w:b w:val="0"/>
          <w:i w:val="0"/>
          <w:caps w:val="0"/>
          <w:strike w:val="0"/>
          <w:color w:val="auto"/>
          <w:sz w:val="24"/>
          <w:u w:val="none"/>
          <w:vertAlign w:val="baseline"/>
        </w:rPr>
        <w:t>posiedzenia Zespołu Interdyscyplinarnego ds. Przeciwdziałania Przemocy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Rodzinie;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6) </w:t>
      </w:r>
      <w:r>
        <w:rPr>
          <w:rFonts w:ascii="Arial" w:eastAsia="Arial" w:hAnsi="Arial" w:cs="Arial"/>
          <w:b w:val="0"/>
          <w:i w:val="0"/>
          <w:caps w:val="0"/>
          <w:strike w:val="0"/>
          <w:color w:val="auto"/>
          <w:sz w:val="24"/>
          <w:u w:val="none"/>
          <w:vertAlign w:val="baseline"/>
        </w:rPr>
        <w:t>posiedzenia Miejskiej Komisji Rozwiązywania Problemów Alkoholowych.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Poziom realizacyjny: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miejskie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państwowe jednostki organizacyjne odpowiedzialne za bezpieczeństwo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porządek publiczny m.in.: Policja, Straż Miejska, Państwowa Straż Pożarna, jednostki organizacyjne podległe władzom samorządowym, wydziały Urzędu Miejskiego;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organizacje pozarządowe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inne instytucje niepubliczne m.in.: agencje ochrony mienia, firmy ubezpieczeniowe, ochotnicze straże pożarne;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środowiska lokalne, m.in.: wspólnoty mieszkaniowe, parafialne, spółdzielnie mieszkaniowe.</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Ocena realizacji zadań kierunkowych, analiza wskaźników satysfakcji oraz zlecanie nowych działań dokonywane będą podczas posiedzeń Komisji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przynajmniej raz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roku.</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5. </w:t>
      </w:r>
      <w:r>
        <w:rPr>
          <w:rFonts w:ascii="Arial" w:eastAsia="Arial" w:hAnsi="Arial" w:cs="Arial"/>
          <w:b w:val="0"/>
          <w:i w:val="0"/>
          <w:caps w:val="0"/>
          <w:strike w:val="0"/>
          <w:color w:val="auto"/>
          <w:sz w:val="24"/>
          <w:u w:val="none"/>
          <w:vertAlign w:val="baseline"/>
        </w:rPr>
        <w:t>Główne kierunki programu</w:t>
      </w:r>
    </w:p>
    <w:p w:rsidR="00A77B3E">
      <w:pPr>
        <w:keepNext w:val="0"/>
        <w:keepLines w:val="0"/>
        <w:spacing w:before="120" w:after="120" w:line="276" w:lineRule="auto"/>
        <w:ind w:left="0" w:right="0" w:firstLine="227"/>
        <w:jc w:val="both"/>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W wyniku przeprowadzonej analizy zagrożeń przestępczością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ustalenia potrzeb społecznych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zakresie ochrony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utrzymania porządku na terenie miasta Bytomia określono następujące obszary działania: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poprawa stanu bezpieczeństwa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mieście, wzrost poczucia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zaufania do służb porządkowych tj. Policji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Straży Miejskiej wśród mieszkańców miasta Bytomia;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aktywne przeciwdziałanie demoralizacji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przestępczości nieletnich;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przeciwdziałanie patologiom społecznym tj. alkoholizmowi, narkomanii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przemocy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rodzinie;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4) </w:t>
      </w:r>
      <w:r>
        <w:rPr>
          <w:rFonts w:ascii="Arial" w:eastAsia="Arial" w:hAnsi="Arial" w:cs="Arial"/>
          <w:b w:val="0"/>
          <w:i w:val="0"/>
          <w:caps w:val="0"/>
          <w:strike w:val="0"/>
          <w:color w:val="auto"/>
          <w:sz w:val="24"/>
          <w:u w:val="none"/>
          <w:vertAlign w:val="baseline"/>
        </w:rPr>
        <w:t>dążenie do poprawy porządku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czystości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mieście;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5) </w:t>
      </w:r>
      <w:r>
        <w:rPr>
          <w:rFonts w:ascii="Arial" w:eastAsia="Arial" w:hAnsi="Arial" w:cs="Arial"/>
          <w:b w:val="0"/>
          <w:i w:val="0"/>
          <w:caps w:val="0"/>
          <w:strike w:val="0"/>
          <w:color w:val="auto"/>
          <w:sz w:val="24"/>
          <w:u w:val="none"/>
          <w:vertAlign w:val="baseline"/>
        </w:rPr>
        <w:t>dążenie do poprawy bezpieczeństwa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ruchu drogowym;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6) </w:t>
      </w:r>
      <w:r>
        <w:rPr>
          <w:rFonts w:ascii="Arial" w:eastAsia="Arial" w:hAnsi="Arial" w:cs="Arial"/>
          <w:b w:val="0"/>
          <w:i w:val="0"/>
          <w:caps w:val="0"/>
          <w:strike w:val="0"/>
          <w:color w:val="auto"/>
          <w:sz w:val="24"/>
          <w:u w:val="none"/>
          <w:vertAlign w:val="baseline"/>
        </w:rPr>
        <w:t>prowadzenie działań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zakresie podnoszenia świadomości społecznej dot. ochrony ppoż.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zasad właściwego zachowania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sytuacjach zagrożenia,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tym przygotowań na wypadek zaistnienia sytuacji kryzysowej.</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6. </w:t>
      </w:r>
      <w:r>
        <w:rPr>
          <w:rFonts w:ascii="Arial" w:eastAsia="Arial" w:hAnsi="Arial" w:cs="Arial"/>
          <w:b w:val="0"/>
          <w:i w:val="0"/>
          <w:caps w:val="0"/>
          <w:strike w:val="0"/>
          <w:color w:val="auto"/>
          <w:sz w:val="24"/>
          <w:u w:val="none"/>
          <w:vertAlign w:val="baseline"/>
        </w:rPr>
        <w:t>Harmonogram realizacji programu.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915"/>
        <w:gridCol w:w="2010"/>
        <w:gridCol w:w="390"/>
        <w:gridCol w:w="240"/>
        <w:gridCol w:w="3645"/>
        <w:gridCol w:w="28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539"/>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Arial" w:eastAsia="Arial" w:hAnsi="Arial" w:cs="Arial"/>
                <w:b w:val="0"/>
                <w:i w:val="0"/>
                <w:caps w:val="0"/>
                <w:strike w:val="0"/>
                <w:color w:val="auto"/>
                <w:sz w:val="24"/>
                <w:u w:val="none"/>
                <w:vertAlign w:val="baseline"/>
              </w:rPr>
            </w:pPr>
            <w:r>
              <w:rPr>
                <w:sz w:val="22"/>
              </w:rPr>
              <w:t>Poz.</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Arial" w:eastAsia="Arial" w:hAnsi="Arial" w:cs="Arial"/>
                <w:b w:val="0"/>
                <w:i w:val="0"/>
                <w:caps w:val="0"/>
                <w:strike w:val="0"/>
                <w:color w:val="auto"/>
                <w:sz w:val="24"/>
                <w:u w:val="none"/>
                <w:vertAlign w:val="baseline"/>
              </w:rPr>
            </w:pPr>
            <w:r>
              <w:rPr>
                <w:sz w:val="22"/>
              </w:rPr>
              <w:t>Kierunek działania</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Arial" w:eastAsia="Arial" w:hAnsi="Arial" w:cs="Arial"/>
                <w:b w:val="0"/>
                <w:i w:val="0"/>
                <w:caps w:val="0"/>
                <w:strike w:val="0"/>
                <w:color w:val="auto"/>
                <w:sz w:val="24"/>
                <w:u w:val="none"/>
                <w:vertAlign w:val="baseline"/>
              </w:rPr>
            </w:pPr>
            <w:r>
              <w:rPr>
                <w:sz w:val="22"/>
              </w:rPr>
              <w:t>Przedsięwzięcie</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Arial" w:eastAsia="Arial" w:hAnsi="Arial" w:cs="Arial"/>
                <w:b w:val="0"/>
                <w:i w:val="0"/>
                <w:caps w:val="0"/>
                <w:strike w:val="0"/>
                <w:color w:val="auto"/>
                <w:sz w:val="24"/>
                <w:u w:val="none"/>
                <w:vertAlign w:val="baseline"/>
              </w:rPr>
            </w:pPr>
            <w:r>
              <w:rPr>
                <w:sz w:val="22"/>
              </w:rPr>
              <w:t>Koordynator</w:t>
            </w:r>
          </w:p>
        </w:tc>
      </w:tr>
      <w:tr>
        <w:tblPrEx>
          <w:tblW w:w="5000" w:type="pct"/>
          <w:tblLayout w:type="fixed"/>
          <w:tblCellMar>
            <w:left w:w="108" w:type="dxa"/>
            <w:right w:w="108" w:type="dxa"/>
          </w:tblCellMar>
        </w:tblPrEx>
        <w:trPr>
          <w:trHeight w:hRule="auto" w:val="0"/>
        </w:trPr>
        <w:tc>
          <w:tcPr>
            <w:tcW w:w="10080" w:type="dxa"/>
            <w:gridSpan w:val="6"/>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Arial" w:eastAsia="Arial" w:hAnsi="Arial" w:cs="Arial"/>
                <w:b w:val="0"/>
                <w:i w:val="0"/>
                <w:caps w:val="0"/>
                <w:strike w:val="0"/>
                <w:color w:val="auto"/>
                <w:sz w:val="24"/>
                <w:u w:val="none"/>
                <w:vertAlign w:val="baseline"/>
              </w:rPr>
            </w:pPr>
            <w:r>
              <w:rPr>
                <w:sz w:val="22"/>
              </w:rPr>
              <w:t>Obszar działania:</w:t>
            </w:r>
          </w:p>
          <w:p>
            <w:pPr>
              <w:jc w:val="left"/>
            </w:pPr>
            <w:r>
              <w:rPr>
                <w:sz w:val="22"/>
              </w:rPr>
              <w:t>І. Poprawa stanu bezpieczeństwa w mieście, wzrost poczucia bezpieczeństwa i zaufania do służb porządkowych tj. Policji i Straży Miejskiej wśród mieszkańców Bytomia.</w:t>
            </w:r>
          </w:p>
        </w:tc>
      </w:tr>
      <w:tr>
        <w:tblPrEx>
          <w:tblW w:w="5000" w:type="pct"/>
          <w:tblLayout w:type="fixed"/>
          <w:tblCellMar>
            <w:left w:w="108" w:type="dxa"/>
            <w:right w:w="108" w:type="dxa"/>
          </w:tblCellMar>
        </w:tblPrEx>
        <w:trPr>
          <w:trHeight w:hRule="auto" w:val="0"/>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І.1</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Analiza zagrożeń.</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auto"/>
                <w:sz w:val="22"/>
                <w:u w:val="none"/>
                <w:vertAlign w:val="baseline"/>
              </w:rPr>
              <w:t>1. Sporządzanie analizy zagrożeń</w:t>
            </w:r>
            <w:r>
              <w:rPr>
                <w:rFonts w:ascii="Arial" w:eastAsia="Arial" w:hAnsi="Arial" w:cs="Arial"/>
                <w:b w:val="0"/>
                <w:i w:val="0"/>
                <w:caps w:val="0"/>
                <w:strike w:val="0"/>
                <w:color w:val="auto"/>
                <w:sz w:val="22"/>
                <w:u w:val="none"/>
                <w:vertAlign w:val="baseline"/>
              </w:rPr>
              <w:br/>
            </w:r>
            <w:r>
              <w:rPr>
                <w:rFonts w:ascii="Arial" w:eastAsia="Arial" w:hAnsi="Arial" w:cs="Arial"/>
                <w:b w:val="0"/>
                <w:i w:val="0"/>
                <w:caps w:val="0"/>
                <w:strike w:val="0"/>
                <w:color w:val="auto"/>
                <w:sz w:val="22"/>
                <w:u w:val="none"/>
                <w:vertAlign w:val="baseline"/>
              </w:rPr>
              <w:t>w cyklu miesięcznym.</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Ocena stanu bezpieczeństwa podczas posiedzeń Zespołu ds. Koordynacji Działań Zewnętrznych.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Systematyczne organizowanie spotkań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mieszkańcami.</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p/>
          <w:p>
            <w:pPr>
              <w:jc w:val="left"/>
            </w:pPr>
            <w:r>
              <w:rPr>
                <w:sz w:val="22"/>
              </w:rPr>
              <w:t>Komenda Miejska Policji</w:t>
            </w:r>
          </w:p>
        </w:tc>
      </w:tr>
      <w:tr>
        <w:tblPrEx>
          <w:tblW w:w="5000" w:type="pct"/>
          <w:tblLayout w:type="fixed"/>
          <w:tblCellMar>
            <w:left w:w="108" w:type="dxa"/>
            <w:right w:w="108" w:type="dxa"/>
          </w:tblCellMar>
        </w:tblPrEx>
        <w:trPr>
          <w:trHeight w:hRule="auto" w:val="0"/>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І.2 </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Ograniczenie liczby przestępstw</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wykroczeń najbardziej uciążliwych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dla mieszkańców.</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Ufundowanie nagród przez Prezydenta Miasta dla funkcjonariuszy Policji i Straży Miejskiej wyróżniających się w działalności na rzecz poprawy bezpieczeństwa i porządku publicznego w mieście.</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 xml:space="preserve">Wydział Zarządzania Kryzysowego </w:t>
            </w:r>
          </w:p>
        </w:tc>
      </w:tr>
      <w:tr>
        <w:tblPrEx>
          <w:tblW w:w="5000" w:type="pct"/>
          <w:tblLayout w:type="fixed"/>
          <w:tblCellMar>
            <w:left w:w="108" w:type="dxa"/>
            <w:right w:w="108" w:type="dxa"/>
          </w:tblCellMar>
        </w:tblPrEx>
        <w:trPr>
          <w:trHeight w:hRule="auto" w:val="0"/>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І.3</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Poprawa bezpieczeństwa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porządku publicznego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rejonie lokali gastronomicznych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punktach sprzedaży napojów alkoholowych.</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Systematyczne kontrole lokali gastronomicznych, punktów sprzedaży alkoholi i ich otoczenia.</w:t>
            </w:r>
          </w:p>
          <w:p>
            <w:pPr>
              <w:jc w:val="left"/>
            </w:pPr>
            <w:r>
              <w:rPr>
                <w:sz w:val="22"/>
              </w:rPr>
              <w:t>2. Bezwzględne karanie osób prowadzących handel bez wymaganych zezwoleń oraz sprzedających napoje alkoholowe w miejscach zabronionych.</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MKRPA</w:t>
            </w:r>
          </w:p>
        </w:tc>
      </w:tr>
      <w:tr>
        <w:tblPrEx>
          <w:tblW w:w="5000" w:type="pct"/>
          <w:tblLayout w:type="fixed"/>
          <w:tblCellMar>
            <w:left w:w="108" w:type="dxa"/>
            <w:right w:w="108" w:type="dxa"/>
          </w:tblCellMar>
        </w:tblPrEx>
        <w:trPr>
          <w:trHeight w:val="1545"/>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І.4</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Poprawa stanu bezpieczeństwa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publicznych – system monitoringu wizyjnego miasta.</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Modernizacja i rozbudowa oraz bieżące serwisowanie działającego na terenie miasta systemu monitoringu wizyjnego.</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Wydział Komunalny</w:t>
            </w:r>
          </w:p>
        </w:tc>
      </w:tr>
      <w:tr>
        <w:tblPrEx>
          <w:tblW w:w="5000" w:type="pct"/>
          <w:tblLayout w:type="fixed"/>
          <w:tblCellMar>
            <w:left w:w="108" w:type="dxa"/>
            <w:right w:w="108" w:type="dxa"/>
          </w:tblCellMar>
        </w:tblPrEx>
        <w:trPr>
          <w:trHeight w:hRule="auto" w:val="0"/>
        </w:trPr>
        <w:tc>
          <w:tcPr>
            <w:tcW w:w="91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I.5</w:t>
            </w:r>
          </w:p>
        </w:tc>
        <w:tc>
          <w:tcPr>
            <w:tcW w:w="26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Dążenie do podniesienia rangi dzielnicowego.</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1. Coroczne organizowanie konkursu „Najlepszy dzielnicowy”.</w:t>
            </w:r>
          </w:p>
          <w:p>
            <w:pPr>
              <w:jc w:val="left"/>
            </w:pPr>
            <w:r>
              <w:rPr>
                <w:sz w:val="22"/>
              </w:rPr>
              <w:t>2. Realizacja koncepcji „Dzielnicowy bliżej nas”.</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p>
          <w:p>
            <w:pPr>
              <w:jc w:val="left"/>
            </w:pPr>
            <w:r>
              <w:rPr>
                <w:sz w:val="22"/>
              </w:rPr>
              <w:t>Komenda Miejska Policji</w:t>
            </w:r>
          </w:p>
        </w:tc>
      </w:tr>
      <w:tr>
        <w:tblPrEx>
          <w:tblW w:w="5000" w:type="pct"/>
          <w:tblLayout w:type="fixed"/>
          <w:tblCellMar>
            <w:left w:w="108" w:type="dxa"/>
            <w:right w:w="108" w:type="dxa"/>
          </w:tblCellMar>
        </w:tblPrEx>
        <w:trPr>
          <w:trHeight w:val="855"/>
        </w:trPr>
        <w:tc>
          <w:tcPr>
            <w:tcW w:w="915"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I.6</w:t>
            </w:r>
          </w:p>
        </w:tc>
        <w:tc>
          <w:tcPr>
            <w:tcW w:w="2640" w:type="dxa"/>
            <w:gridSpan w:val="3"/>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auto"/>
                <w:sz w:val="22"/>
                <w:u w:val="none"/>
                <w:vertAlign w:val="baseline"/>
              </w:rPr>
              <w:t>Stałe podnoszenie stanu zaufania do Policji</w:t>
            </w:r>
            <w:r>
              <w:rPr>
                <w:rFonts w:ascii="Arial" w:eastAsia="Arial" w:hAnsi="Arial" w:cs="Arial"/>
                <w:b w:val="0"/>
                <w:i w:val="0"/>
                <w:caps w:val="0"/>
                <w:strike w:val="0"/>
                <w:color w:val="auto"/>
                <w:sz w:val="22"/>
                <w:u w:val="none"/>
                <w:vertAlign w:val="baseline"/>
              </w:rPr>
              <w:br/>
            </w:r>
            <w:r>
              <w:rPr>
                <w:rFonts w:ascii="Arial" w:eastAsia="Arial" w:hAnsi="Arial" w:cs="Arial"/>
                <w:b w:val="0"/>
                <w:i w:val="0"/>
                <w:caps w:val="0"/>
                <w:strike w:val="0"/>
                <w:color w:val="auto"/>
                <w:sz w:val="22"/>
                <w:u w:val="none"/>
                <w:vertAlign w:val="baseline"/>
              </w:rPr>
              <w:t>i Straży Miejskiej.</w:t>
            </w:r>
          </w:p>
        </w:tc>
        <w:tc>
          <w:tcPr>
            <w:tcW w:w="3645"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Systematyczne skracanie czasu reakcji na zgłaszane przez mieszkańców zdarzenia.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Podejmowanie działań na rzecz kompetentnej obsługi interesantów.</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3.Promowanie aplikacji KMZB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Moja Komenda.</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Profesjonalne prezentowanie efektów pracy Policji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Straży Miejskiej.</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772"/>
        </w:trPr>
        <w:tc>
          <w:tcPr>
            <w:tcW w:w="91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855"/>
        </w:trPr>
        <w:tc>
          <w:tcPr>
            <w:tcW w:w="91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964"/>
        </w:trPr>
        <w:tc>
          <w:tcPr>
            <w:tcW w:w="915"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I.7</w:t>
            </w:r>
          </w:p>
        </w:tc>
        <w:tc>
          <w:tcPr>
            <w:tcW w:w="2640" w:type="dxa"/>
            <w:gridSpan w:val="3"/>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Motywowanie społeczeństwa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podejmowaniu działań na rzecz bezpieczeństwa.</w:t>
            </w:r>
          </w:p>
        </w:tc>
        <w:tc>
          <w:tcPr>
            <w:tcW w:w="364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Organizowanie cyklicznych spotkań i debat.</w:t>
            </w:r>
          </w:p>
        </w:tc>
        <w:tc>
          <w:tcPr>
            <w:tcW w:w="288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Kancelaria Prezydenta Miasta,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222"/>
        </w:trPr>
        <w:tc>
          <w:tcPr>
            <w:tcW w:w="91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tcBorders>
              <w:top w:val="single" w:sz="4" w:space="0" w:color="auto"/>
              <w:left w:val="single" w:sz="4" w:space="0" w:color="auto"/>
              <w:bottom w:val="nil"/>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Realizacja programów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kampanii profilaktycznych takich jak m.in.:</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”Razem bezpieczniej”, „Kręci mnie bezpieczeństwo”, „Bezpieczny senior”.</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Komenda Miejska Policji</w:t>
            </w:r>
          </w:p>
        </w:tc>
      </w:tr>
      <w:tr>
        <w:tblPrEx>
          <w:tblW w:w="5000" w:type="pct"/>
          <w:tblLayout w:type="fixed"/>
          <w:tblCellMar>
            <w:left w:w="108" w:type="dxa"/>
            <w:right w:w="108" w:type="dxa"/>
          </w:tblCellMar>
        </w:tblPrEx>
        <w:trPr>
          <w:trHeight w:hRule="auto" w:val="0"/>
        </w:trPr>
        <w:tc>
          <w:tcPr>
            <w:tcW w:w="10080" w:type="dxa"/>
            <w:gridSpan w:val="6"/>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utrzymanie dynamiki przestępstw najbardziej uciążliwych dla mieszkańców w poszczególnych latach realizacji programu poniżej 100%;</w:t>
            </w:r>
          </w:p>
          <w:p>
            <w:pPr>
              <w:jc w:val="both"/>
            </w:pPr>
            <w:r>
              <w:rPr>
                <w:sz w:val="22"/>
              </w:rPr>
              <w:t>2) utrzymanie tendencji wzrostowej w zakresie poczucia bezpieczeństwa wśród mieszkańców miasta Bytomia.</w:t>
            </w:r>
          </w:p>
          <w:p>
            <w:pPr>
              <w:jc w:val="left"/>
            </w:pPr>
            <w:r>
              <w:rPr>
                <w:sz w:val="22"/>
              </w:rPr>
              <w:t>Podmiot wiodący: Komenda Miejska Policji</w:t>
            </w:r>
          </w:p>
        </w:tc>
      </w:tr>
      <w:tr>
        <w:tblPrEx>
          <w:tblW w:w="5000" w:type="pct"/>
          <w:tblLayout w:type="fixed"/>
          <w:tblCellMar>
            <w:left w:w="108" w:type="dxa"/>
            <w:right w:w="108" w:type="dxa"/>
          </w:tblCellMar>
        </w:tblPrEx>
        <w:trPr>
          <w:trHeight w:hRule="auto" w:val="0"/>
        </w:trPr>
        <w:tc>
          <w:tcPr>
            <w:tcW w:w="10080" w:type="dxa"/>
            <w:gridSpan w:val="6"/>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 :</w:t>
            </w:r>
          </w:p>
          <w:p>
            <w:pPr>
              <w:jc w:val="both"/>
            </w:pPr>
            <w:r>
              <w:rPr>
                <w:sz w:val="22"/>
              </w:rPr>
              <w:t>II. Aktywne przeciwdziałanie demoralizacji i przestępczości nieletnich.</w:t>
            </w:r>
          </w:p>
        </w:tc>
      </w:tr>
      <w:tr>
        <w:tblPrEx>
          <w:tblW w:w="5000" w:type="pct"/>
          <w:tblLayout w:type="fixed"/>
          <w:tblCellMar>
            <w:left w:w="108" w:type="dxa"/>
            <w:right w:w="108" w:type="dxa"/>
          </w:tblCellMar>
        </w:tblPrEx>
        <w:trPr>
          <w:trHeight w:val="2250"/>
        </w:trPr>
        <w:tc>
          <w:tcPr>
            <w:tcW w:w="915"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II.1</w:t>
            </w:r>
          </w:p>
        </w:tc>
        <w:tc>
          <w:tcPr>
            <w:tcW w:w="2400"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przestępczości nieletnich.</w:t>
            </w: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Bieżące kontynuowanie współpracy Policji i Straży Miejskiej z bytomskimi szkołami w zakresie wymiany informacji na terenie szkół. alkoholu.</w:t>
            </w:r>
          </w:p>
          <w:p>
            <w:pPr>
              <w:jc w:val="left"/>
            </w:pPr>
            <w:r>
              <w:rPr>
                <w:sz w:val="22"/>
              </w:rPr>
              <w:t>2. Systematyczne organizowanie spotkań, prelekcji i pogadanek w bytomskich placówkach oświatowych.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159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Analizowanie na bieżąco przyczyn niedostosowania społecznego wśród dzieci i młodzieży szkolnej.</w:t>
            </w:r>
          </w:p>
          <w:p>
            <w:pPr>
              <w:jc w:val="left"/>
            </w:pPr>
            <w:r>
              <w:rPr>
                <w:sz w:val="22"/>
              </w:rPr>
              <w:t>4. Bieżące kontrole realizacji obowiązku szkolnego i obowiązku nauki.</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Edukacji</w:t>
            </w:r>
          </w:p>
        </w:tc>
      </w:tr>
      <w:tr>
        <w:tblPrEx>
          <w:tblW w:w="5000" w:type="pct"/>
          <w:tblLayout w:type="fixed"/>
          <w:tblCellMar>
            <w:left w:w="108" w:type="dxa"/>
            <w:right w:w="108" w:type="dxa"/>
          </w:tblCellMar>
        </w:tblPrEx>
        <w:trPr>
          <w:trHeight w:val="1755"/>
        </w:trPr>
        <w:tc>
          <w:tcPr>
            <w:tcW w:w="915"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II.2</w:t>
            </w:r>
          </w:p>
        </w:tc>
        <w:tc>
          <w:tcPr>
            <w:tcW w:w="2400"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Podniesienie bezpieczeństwa dzieci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młodzieży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szkołach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ich okolicy.</w:t>
            </w: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Kontynuowanie ścisłej współpracy pomiędzy nauczycielami, rodzicami, uczniami, Policją, Strażą Miejską oraz innymi instytucjami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organizacjami społecznymi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zakresie kształtowania bezpiecznych zachowań dzieci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młodzieży.</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Edukacji</w:t>
            </w:r>
          </w:p>
        </w:tc>
      </w:tr>
      <w:tr>
        <w:tblPrEx>
          <w:tblW w:w="5000" w:type="pct"/>
          <w:tblLayout w:type="fixed"/>
          <w:tblCellMar>
            <w:left w:w="108" w:type="dxa"/>
            <w:right w:w="108" w:type="dxa"/>
          </w:tblCellMar>
        </w:tblPrEx>
        <w:trPr>
          <w:trHeight w:val="81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Kontynuowanie corocznych akcji „Bezpieczne Ferie”, „Bezpieczne Wakacje”.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165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Kontynuowanie corocznych spektakli profilaktyczno – edukacyjnych dla bytomskich pierwszoklasistów propagujących bezpieczną drogę do szkoły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bezpiecznego spędzania ferii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wakacji.</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Zarządzania Kryzysowego,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72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Kontynuacja dotychczasowych programów profilaktycznych prowadzonych przez Policję, Straż Miejską i placówki oświatowe oraz wdrażanie nowych autorskich programów profilaktycznych zgodnie z zapotrzebowaniem na terenie bytomskich szkół.</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w:t>
            </w:r>
          </w:p>
        </w:tc>
      </w:tr>
      <w:tr>
        <w:tblPrEx>
          <w:tblW w:w="5000" w:type="pct"/>
          <w:tblLayout w:type="fixed"/>
          <w:tblCellMar>
            <w:left w:w="108" w:type="dxa"/>
            <w:right w:w="108" w:type="dxa"/>
          </w:tblCellMar>
        </w:tblPrEx>
        <w:trPr>
          <w:trHeight w:val="154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5. Zakup materiałów edukacyjnych na potrzeby programów profilaktycznych.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 Wydział Zarządzania Kryzysowego</w:t>
            </w:r>
          </w:p>
        </w:tc>
      </w:tr>
      <w:tr>
        <w:tblPrEx>
          <w:tblW w:w="5000" w:type="pct"/>
          <w:tblLayout w:type="fixed"/>
          <w:tblCellMar>
            <w:left w:w="108" w:type="dxa"/>
            <w:right w:w="108" w:type="dxa"/>
          </w:tblCellMar>
        </w:tblPrEx>
        <w:trPr>
          <w:trHeight w:hRule="auto" w:val="0"/>
        </w:trPr>
        <w:tc>
          <w:tcPr>
            <w:tcW w:w="10080" w:type="dxa"/>
            <w:gridSpan w:val="6"/>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utrzymanie dynamiki ujawnionych czynów karalnych w poszczególnych latach realizacji programu poniżej 100%;</w:t>
            </w:r>
          </w:p>
          <w:p>
            <w:pPr>
              <w:jc w:val="both"/>
            </w:pPr>
            <w:r>
              <w:rPr>
                <w:sz w:val="22"/>
              </w:rPr>
              <w:t>2) utrzymanie tendencji wzrostowej w zakresie stanu poczucia bezpieczeństwa na terenie szkoły i poza nią wśród dzieci i młodzieży szkolnej.</w:t>
            </w:r>
          </w:p>
          <w:p>
            <w:pPr>
              <w:jc w:val="left"/>
            </w:pPr>
            <w:r>
              <w:rPr>
                <w:sz w:val="22"/>
              </w:rPr>
              <w:t>Podmiot wiodący: Wydział Edukacji</w:t>
            </w:r>
          </w:p>
        </w:tc>
      </w:tr>
      <w:tr>
        <w:tblPrEx>
          <w:tblW w:w="5000" w:type="pct"/>
          <w:tblLayout w:type="fixed"/>
          <w:tblCellMar>
            <w:left w:w="108" w:type="dxa"/>
            <w:right w:w="108" w:type="dxa"/>
          </w:tblCellMar>
        </w:tblPrEx>
        <w:trPr>
          <w:trHeight w:hRule="auto" w:val="0"/>
        </w:trPr>
        <w:tc>
          <w:tcPr>
            <w:tcW w:w="10080" w:type="dxa"/>
            <w:gridSpan w:val="6"/>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w:t>
            </w:r>
          </w:p>
          <w:p>
            <w:pPr>
              <w:jc w:val="both"/>
            </w:pPr>
            <w:r>
              <w:rPr>
                <w:sz w:val="22"/>
              </w:rPr>
              <w:t>ІІІ. Przeciwdziałanie patologiom społecznym tj. alkoholizmowi, narkomanii i przemocy domowej.</w:t>
            </w:r>
          </w:p>
        </w:tc>
      </w:tr>
      <w:tr>
        <w:tblPrEx>
          <w:tblW w:w="5000" w:type="pct"/>
          <w:tblLayout w:type="fixed"/>
          <w:tblCellMar>
            <w:left w:w="108" w:type="dxa"/>
            <w:right w:w="108" w:type="dxa"/>
          </w:tblCellMar>
        </w:tblPrEx>
        <w:trPr>
          <w:trHeight w:val="2505"/>
        </w:trPr>
        <w:tc>
          <w:tcPr>
            <w:tcW w:w="915"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ІІІ.1</w:t>
            </w:r>
          </w:p>
        </w:tc>
        <w:tc>
          <w:tcPr>
            <w:tcW w:w="201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alkoholizmowi.</w:t>
            </w: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Kontynuowanie współpracy partnerów programu na rzecz przeciwdziałania alkoholizmowi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ramach realizacji zadań wynikających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ustawy o</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wychowaniu</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trzeźwości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przeciwdziałaniu alkoholizmowi.</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Kontynuowanie działalności profilaktycznych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bytomskich szkołach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przeciwdziałania alkoholizmowi.</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313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Podejmowanie właściwych działań represyjno-prewencyjnych przez Policję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 Miejską wobec osób spożywających alkohol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miejscach zabronionych.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Utrzymanie stałego kontaktu</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pedagogami szkolnymi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dyrektorami szkół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celu bieżącego monitorowania zachowań uczniów pod kątem spożycia alkoholu.</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Ścisła współpraca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Miejską Komisją ds. Rozwiązywania Problemów Alkoholowych.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107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6. Monitorowanie wydanych zezwoleń na sprzedaż alkoholu zgodnie z uchwałą RM w tym zakresie.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Referat Działalności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Gospodarczej</w:t>
            </w:r>
          </w:p>
        </w:tc>
      </w:tr>
      <w:tr>
        <w:tblPrEx>
          <w:tblW w:w="5000" w:type="pct"/>
          <w:tblLayout w:type="fixed"/>
          <w:tblCellMar>
            <w:left w:w="108" w:type="dxa"/>
            <w:right w:w="108" w:type="dxa"/>
          </w:tblCellMar>
        </w:tblPrEx>
        <w:trPr>
          <w:trHeight w:val="150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rozmów motywujących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osobami opuszczającymi Izbę Wytrzeźwień.</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8. Prowadzenie konsultacji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terapii grupowej dla osób uzależnionych od alkoholu.</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9. Prowadzenie szkoleń dla grup zawodowych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profilaktyki uzależnienia od alkoholi, skutecznych oddziaływań.</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95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10. Prowadzenie zajęć profilaktycznych skierowanych do osób bezdomnych przebywających w noclegowni.</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Miejski Ośrodek Pomocy Rodzinie</w:t>
            </w:r>
          </w:p>
        </w:tc>
      </w:tr>
      <w:tr>
        <w:tblPrEx>
          <w:tblW w:w="5000" w:type="pct"/>
          <w:tblLayout w:type="fixed"/>
          <w:tblCellMar>
            <w:left w:w="108" w:type="dxa"/>
            <w:right w:w="108" w:type="dxa"/>
          </w:tblCellMar>
        </w:tblPrEx>
        <w:trPr>
          <w:trHeight w:val="126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11. Prowadzenie pogadanek skierowanych do dzieci i młodzieży o konsekwencjach prawnych spożywania alkoholu w miejscach zabronionych.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210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12. Bieżąca praca z rodzicami osób uzależnionych od alkoholu w ramach terapii współuzależnienia.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Miejska Komisja Rozwiązywania Problemów Alkoholowych</w:t>
            </w:r>
            <w:r>
              <w:rPr>
                <w:rFonts w:ascii="Arial" w:eastAsia="Arial" w:hAnsi="Arial" w:cs="Arial"/>
                <w:b w:val="0"/>
                <w:i w:val="0"/>
                <w:caps w:val="0"/>
                <w:strike w:val="0"/>
                <w:color w:val="000000"/>
                <w:sz w:val="22"/>
                <w:u w:val="none" w:color="000000"/>
                <w:vertAlign w:val="baseline"/>
              </w:rPr>
              <w:t> </w:t>
            </w:r>
          </w:p>
        </w:tc>
      </w:tr>
      <w:tr>
        <w:tblPrEx>
          <w:tblW w:w="5000" w:type="pct"/>
          <w:tblLayout w:type="fixed"/>
          <w:tblCellMar>
            <w:left w:w="108" w:type="dxa"/>
            <w:right w:w="108" w:type="dxa"/>
          </w:tblCellMar>
        </w:tblPrEx>
        <w:trPr>
          <w:trHeight w:val="169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13. Ścisła współpraca Policji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Straży Miejskiej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Urzędem Miejskim dot. ujawnionych przypadków nieprzestrzegania przepisów ustawy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 wychowaniu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trzeźwości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przeciwdziałaniu alkoholizmowi.</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Referat Działalności Gospodarczej, Komenda Miejska Policji</w:t>
            </w:r>
          </w:p>
        </w:tc>
      </w:tr>
      <w:tr>
        <w:tblPrEx>
          <w:tblW w:w="5000" w:type="pct"/>
          <w:tblLayout w:type="fixed"/>
          <w:tblCellMar>
            <w:left w:w="108" w:type="dxa"/>
            <w:right w:w="108" w:type="dxa"/>
          </w:tblCellMar>
        </w:tblPrEx>
        <w:trPr>
          <w:trHeight w:val="145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14. Kierowanie na leczenie odwykowe osób uzależnionych.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Miejska Komisja Rozwiązywania Problemów Alkoholowych </w:t>
            </w:r>
          </w:p>
        </w:tc>
      </w:tr>
      <w:tr>
        <w:tblPrEx>
          <w:tblW w:w="5000" w:type="pct"/>
          <w:tblLayout w:type="fixed"/>
          <w:tblCellMar>
            <w:left w:w="108" w:type="dxa"/>
            <w:right w:w="108" w:type="dxa"/>
          </w:tblCellMar>
        </w:tblPrEx>
        <w:trPr>
          <w:trHeight w:val="839"/>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15. Wspieranie programów niestacjonarnej terapii uzależnienia od alkoholu.</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Miejski Ośrodek Pomocy Rodzinie</w:t>
            </w:r>
          </w:p>
        </w:tc>
      </w:tr>
      <w:tr>
        <w:tblPrEx>
          <w:tblW w:w="5000" w:type="pct"/>
          <w:tblLayout w:type="fixed"/>
          <w:tblCellMar>
            <w:left w:w="108" w:type="dxa"/>
            <w:right w:w="108" w:type="dxa"/>
          </w:tblCellMar>
        </w:tblPrEx>
        <w:trPr>
          <w:trHeight w:val="2385"/>
        </w:trPr>
        <w:tc>
          <w:tcPr>
            <w:tcW w:w="915"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III.2</w:t>
            </w:r>
          </w:p>
        </w:tc>
        <w:tc>
          <w:tcPr>
            <w:tcW w:w="201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narkomanii.</w:t>
            </w: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Prowadzenia intensywnych działań organów ścigania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ujawniania przestępstw związanych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zażywaniem narkotyków oraz na rzecz walki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dealerami narkotyków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dopalaczy.</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Prowadzenie prze Policję pogadanek</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prelekcji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bytomskich szkołach dot. odpowiedzialności karnej za przestępstwa narkotykowe.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84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Podejmowanie działań motywujących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interwencyjnych wobec osób uzależnionych od środków psychoaktywnych.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Prowadzenie działalności informacyjnej na temat możliwości uzyskania pomocy psychologicznej, prawnej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socjalnej przez osoby uzależnione.</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Wspieranie kształcenia pedagogów szkolnych, nauczycieli, wychowawców, opiekunów, liderów młodzieżowych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dziedzinie profilaktyki uzależnień.</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88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6. Prowadzenie kampanii społeczno-edukacyjnych nt. uzależnień skierowanych do mieszkańców miasta.</w:t>
            </w:r>
          </w:p>
          <w:p>
            <w:pPr>
              <w:jc w:val="left"/>
            </w:pPr>
            <w:r>
              <w:rPr>
                <w:sz w:val="22"/>
              </w:rPr>
              <w:t>7. Wspieranie programów profilaktycznych dot. terapii uzależnienia od narkotyków i dopingu.</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w:t>
            </w:r>
          </w:p>
        </w:tc>
      </w:tr>
      <w:tr>
        <w:tblPrEx>
          <w:tblW w:w="5000" w:type="pct"/>
          <w:tblLayout w:type="fixed"/>
          <w:tblCellMar>
            <w:left w:w="108" w:type="dxa"/>
            <w:right w:w="108" w:type="dxa"/>
          </w:tblCellMar>
        </w:tblPrEx>
        <w:trPr>
          <w:trHeight w:val="1527"/>
        </w:trPr>
        <w:tc>
          <w:tcPr>
            <w:tcW w:w="915"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III.3</w:t>
            </w:r>
          </w:p>
        </w:tc>
        <w:tc>
          <w:tcPr>
            <w:tcW w:w="201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Przeciwdziałanie przemocy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rodzinie.</w:t>
            </w: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Bieżące monitorowanie środowisk zagrożonych występowaniem przemocy w rodzinie w ramach kolejnych edycji projektu partnerskiego „Prawo Ochronnym Parasolem Dziecka”.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Miejski Ośrodek Pomocy Rodzinie,</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Zarządzania Kryzysowego</w:t>
            </w:r>
          </w:p>
        </w:tc>
      </w:tr>
      <w:tr>
        <w:tblPrEx>
          <w:tblW w:w="5000" w:type="pct"/>
          <w:tblLayout w:type="fixed"/>
          <w:tblCellMar>
            <w:left w:w="108" w:type="dxa"/>
            <w:right w:w="108" w:type="dxa"/>
          </w:tblCellMar>
        </w:tblPrEx>
        <w:trPr>
          <w:trHeight w:val="183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Współuczestnictwo poszczególnych służb, podmiotów w pracach Zespołu Interdyscyplinarnego ds. Przeciwdziałania Przemocy w rodzinie w celu rozwiązywania bieżących problemów przemocy w rodzinie na terenie naszego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Zespół Interdyscyplinarny</w:t>
            </w:r>
          </w:p>
        </w:tc>
      </w:tr>
      <w:tr>
        <w:tblPrEx>
          <w:tblW w:w="5000" w:type="pct"/>
          <w:tblLayout w:type="fixed"/>
          <w:tblCellMar>
            <w:left w:w="108" w:type="dxa"/>
            <w:right w:w="108" w:type="dxa"/>
          </w:tblCellMar>
        </w:tblPrEx>
        <w:trPr>
          <w:trHeight w:val="1423"/>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Prowadzenie działalności informacyjnej na temat możliwości uzyskania pomocy psychologicznej, prawnej, socjalnej przez osoby dotknięte przemocą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Inspirowanie działań profilaktycznych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prowadzenie szkoleń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przemocy dla poszczególnych grup zawodowych zaangażowanych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rozwiązywanie problemów przemocy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Zespół Interdyscyplinarny Centrum Przeciwdziałania Uzależnieniom, Miejski Ośrodek Pomocy Rodzinie</w:t>
            </w:r>
          </w:p>
        </w:tc>
      </w:tr>
      <w:tr>
        <w:tblPrEx>
          <w:tblW w:w="5000" w:type="pct"/>
          <w:tblLayout w:type="fixed"/>
          <w:tblCellMar>
            <w:left w:w="108" w:type="dxa"/>
            <w:right w:w="108" w:type="dxa"/>
          </w:tblCellMar>
        </w:tblPrEx>
        <w:trPr>
          <w:trHeight w:val="139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5. Prowadzenie Hosteli dla ofiar przemocy oraz Ośrodka Interwencji Kryzysowej.</w:t>
            </w:r>
          </w:p>
          <w:p>
            <w:pPr>
              <w:jc w:val="left"/>
            </w:pPr>
            <w:r>
              <w:rPr>
                <w:sz w:val="22"/>
              </w:rPr>
              <w:t>6. Prowadzenie terapii ofiar przemocy w rodzinie.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Ośrodek Pomocy Rodzinie</w:t>
            </w:r>
          </w:p>
        </w:tc>
      </w:tr>
      <w:tr>
        <w:tblPrEx>
          <w:tblW w:w="5000" w:type="pct"/>
          <w:tblLayout w:type="fixed"/>
          <w:tblCellMar>
            <w:left w:w="108" w:type="dxa"/>
            <w:right w:w="108" w:type="dxa"/>
          </w:tblCellMar>
        </w:tblPrEx>
        <w:trPr>
          <w:trHeight w:val="1185"/>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programu korekcyjno-edukacyjnego dla osób stosujących przemoc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 oraz grupy psychoedukacyjnej dla osób doświadczających przemocy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8</w:t>
            </w:r>
            <w:r>
              <w:rPr>
                <w:rFonts w:ascii="Arial" w:eastAsia="Arial" w:hAnsi="Arial" w:cs="Arial"/>
                <w:b w:val="0"/>
                <w:i w:val="0"/>
                <w:caps w:val="0"/>
                <w:strike w:val="0"/>
                <w:color w:val="000000"/>
                <w:sz w:val="24"/>
                <w:u w:val="none" w:color="000000"/>
                <w:vertAlign w:val="baseline"/>
              </w:rPr>
              <w:t xml:space="preserve">. </w:t>
            </w:r>
            <w:r>
              <w:rPr>
                <w:rFonts w:ascii="Arial" w:eastAsia="Arial" w:hAnsi="Arial" w:cs="Arial"/>
                <w:b w:val="0"/>
                <w:i w:val="0"/>
                <w:caps w:val="0"/>
                <w:strike w:val="0"/>
                <w:color w:val="000000"/>
                <w:sz w:val="22"/>
                <w:u w:val="none" w:color="000000"/>
                <w:vertAlign w:val="baseline"/>
              </w:rPr>
              <w:t>Prowadzenie bieżących prac interwencyjnych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terapeutycznych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dziećmi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osobami dorosłymi doświadczającymi przemocy seksualnej.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9. Umożliwienie darmowych porad prawnych osobom uwikłanym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przemoc/Punkty Konsultacyjne.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102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10. Prowadzenie kampanii społeczno-edukacyjnych nt. przemocy w rodzinie skierowanych do mieszkańców miast.</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Polityki Społecznej,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Zespół Interdyscyplinarny</w:t>
            </w:r>
          </w:p>
        </w:tc>
      </w:tr>
      <w:tr>
        <w:tblPrEx>
          <w:tblW w:w="5000" w:type="pct"/>
          <w:tblLayout w:type="fixed"/>
          <w:tblCellMar>
            <w:left w:w="108" w:type="dxa"/>
            <w:right w:w="108" w:type="dxa"/>
          </w:tblCellMar>
        </w:tblPrEx>
        <w:trPr>
          <w:trHeight w:val="1800"/>
        </w:trPr>
        <w:tc>
          <w:tcPr>
            <w:tcW w:w="915"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3"/>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11. Wspieranie programów profilaktycznych dot. przeciwdziałania przemocy.</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Polityki Społecznej,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Ośrodek Pomocy Rodzinie, 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Zespół Interdyscyplinarny</w:t>
            </w:r>
          </w:p>
        </w:tc>
      </w:tr>
      <w:tr>
        <w:tblPrEx>
          <w:tblW w:w="5000" w:type="pct"/>
          <w:tblLayout w:type="fixed"/>
          <w:tblCellMar>
            <w:left w:w="108" w:type="dxa"/>
            <w:right w:w="108" w:type="dxa"/>
          </w:tblCellMar>
        </w:tblPrEx>
        <w:trPr>
          <w:trHeight w:val="629"/>
        </w:trPr>
        <w:tc>
          <w:tcPr>
            <w:tcW w:w="10080" w:type="dxa"/>
            <w:gridSpan w:val="6"/>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Wskaźniki satysfakcji:</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utrzymanie dynamiki przestępstw, gdzie stosowana jest przemoc poniżej 100%</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kolejnych latach funkcjonowania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spadek liczby osób, które muszą poddać się terapii przeciwnarkotykowej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przeciwalkoholowej oraz osób kierowanych na terapię jako ofiary przemocy domowej;</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spadek liczby osób doprowadzonych do Izby Wytrzeźwień.</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Podmiot wiodący: Centrum Przeciwdziałania Uzależnieniom, Miejski Ośrodek Pomocy Rodzinie.</w:t>
            </w:r>
          </w:p>
        </w:tc>
      </w:tr>
    </w:tbl>
    <w:p w:rsidR="00A77B3E">
      <w:pPr>
        <w:spacing w:before="0" w:after="0"/>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br/>
      </w:r>
      <w:r>
        <w:rPr>
          <w:rFonts w:ascii="Arial" w:eastAsia="Arial" w:hAnsi="Arial" w:cs="Arial"/>
          <w:b w:val="0"/>
          <w:i w:val="0"/>
          <w:caps w:val="0"/>
          <w:strike w:val="0"/>
          <w:color w:val="auto"/>
          <w:sz w:val="24"/>
          <w:u w:val="none"/>
          <w:vertAlign w:val="baseline"/>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90"/>
        <w:gridCol w:w="225"/>
        <w:gridCol w:w="2880"/>
        <w:gridCol w:w="3405"/>
        <w:gridCol w:w="28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629"/>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Arial" w:eastAsia="Arial" w:hAnsi="Arial" w:cs="Arial"/>
                <w:b w:val="0"/>
                <w:i w:val="0"/>
                <w:caps w:val="0"/>
                <w:strike w:val="0"/>
                <w:color w:val="auto"/>
                <w:sz w:val="24"/>
                <w:u w:val="none"/>
                <w:vertAlign w:val="baseline"/>
              </w:rPr>
            </w:pPr>
            <w:r>
              <w:rPr>
                <w:sz w:val="22"/>
              </w:rPr>
              <w:t>Obszar działania:</w:t>
            </w:r>
          </w:p>
          <w:p>
            <w:pPr>
              <w:jc w:val="left"/>
            </w:pPr>
            <w:r>
              <w:rPr>
                <w:sz w:val="22"/>
              </w:rPr>
              <w:t>IV. Dążenie do poprawy porządku i czystości w mieście.</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Arial" w:eastAsia="Arial" w:hAnsi="Arial" w:cs="Arial"/>
                <w:b w:val="0"/>
                <w:i w:val="0"/>
                <w:caps w:val="0"/>
                <w:strike w:val="0"/>
                <w:color w:val="auto"/>
                <w:sz w:val="24"/>
                <w:u w:val="none"/>
                <w:vertAlign w:val="baseline"/>
              </w:rPr>
            </w:pPr>
            <w:r>
              <w:rPr>
                <w:sz w:val="22"/>
              </w:rPr>
              <w:t>IV.1</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Arial" w:eastAsia="Arial" w:hAnsi="Arial" w:cs="Arial"/>
                <w:b w:val="0"/>
                <w:i w:val="0"/>
                <w:caps w:val="0"/>
                <w:strike w:val="0"/>
                <w:color w:val="auto"/>
                <w:sz w:val="24"/>
                <w:u w:val="none"/>
                <w:vertAlign w:val="baseline"/>
              </w:rPr>
            </w:pPr>
            <w:r>
              <w:rPr>
                <w:sz w:val="22"/>
              </w:rPr>
              <w:t>Wyeliminowanie spożywania alkoholu w miejscach publicznych.</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auto"/>
                <w:sz w:val="22"/>
                <w:u w:val="none"/>
                <w:vertAlign w:val="baseline"/>
              </w:rPr>
              <w:t>Zdecydowana reakcja służb porządkowych wobec osób spożywających alkohol</w:t>
            </w:r>
            <w:r>
              <w:rPr>
                <w:rFonts w:ascii="Arial" w:eastAsia="Arial" w:hAnsi="Arial" w:cs="Arial"/>
                <w:b w:val="0"/>
                <w:i w:val="0"/>
                <w:caps w:val="0"/>
                <w:strike w:val="0"/>
                <w:color w:val="auto"/>
                <w:sz w:val="22"/>
                <w:u w:val="none"/>
                <w:vertAlign w:val="baseline"/>
              </w:rPr>
              <w:br/>
            </w:r>
            <w:r>
              <w:rPr>
                <w:rFonts w:ascii="Arial" w:eastAsia="Arial" w:hAnsi="Arial" w:cs="Arial"/>
                <w:b w:val="0"/>
                <w:i w:val="0"/>
                <w:caps w:val="0"/>
                <w:strike w:val="0"/>
                <w:color w:val="auto"/>
                <w:sz w:val="22"/>
                <w:u w:val="none"/>
                <w:vertAlign w:val="baseline"/>
              </w:rPr>
              <w:t>w miejscach zabronionych.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IV.2</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Wyeliminowanie palenia papierosów w miejscach zabronionych i zaśmiecania tych miejsc.</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Zdecydowana reakcja służb porządkowych wobec osób zaśmiecających miejsca publiczne i palących papierosy w miejscach zabronionych oraz na umieszczanie graffiti, ogłoszeń i plakatów reklamowych w miejscach niedozwolonych.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Straż Miejska</w:t>
            </w:r>
          </w:p>
        </w:tc>
      </w:tr>
      <w:tr>
        <w:tblPrEx>
          <w:tblW w:w="5000" w:type="pct"/>
          <w:tblLayout w:type="fixed"/>
          <w:tblCellMar>
            <w:left w:w="108" w:type="dxa"/>
            <w:right w:w="108" w:type="dxa"/>
          </w:tblCellMar>
        </w:tblPrEx>
        <w:trPr>
          <w:trHeight w:val="1543"/>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IV.3</w:t>
            </w:r>
          </w:p>
        </w:tc>
        <w:tc>
          <w:tcPr>
            <w:tcW w:w="288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tworzeniu „dzikich wysypisk śmieci” na terenie miasta.</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Zdecydowana reakcja służb porządkowych wobec osób pozostawiających odpady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do tego nieprzeznaczonych.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Straż Miejska, Wydział Inżynierii Środowiska</w:t>
            </w:r>
          </w:p>
        </w:tc>
      </w:tr>
      <w:tr>
        <w:tblPrEx>
          <w:tblW w:w="5000" w:type="pct"/>
          <w:tblLayout w:type="fixed"/>
          <w:tblCellMar>
            <w:left w:w="108" w:type="dxa"/>
            <w:right w:w="108" w:type="dxa"/>
          </w:tblCellMar>
        </w:tblPrEx>
        <w:trPr>
          <w:trHeight w:val="960"/>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2. Monitorowanie gospodarki odpadami na terenie miasta przy wykorzystaniu urządzeń monitoringu wizyjnego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Straż Miejska</w:t>
            </w:r>
          </w:p>
        </w:tc>
      </w:tr>
      <w:tr>
        <w:tblPrEx>
          <w:tblW w:w="5000" w:type="pct"/>
          <w:tblLayout w:type="fixed"/>
          <w:tblCellMar>
            <w:left w:w="108" w:type="dxa"/>
            <w:right w:w="108" w:type="dxa"/>
          </w:tblCellMar>
        </w:tblPrEx>
        <w:trPr>
          <w:trHeight w:val="1021"/>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3. Opiniowanie wydawanych decyzji o składowaniu odpadów przez różne podmioty na terenie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Zespół ds. Odpadów</w:t>
            </w:r>
          </w:p>
        </w:tc>
      </w:tr>
      <w:tr>
        <w:tblPrEx>
          <w:tblW w:w="5000" w:type="pct"/>
          <w:tblLayout w:type="fixed"/>
          <w:tblCellMar>
            <w:left w:w="108" w:type="dxa"/>
            <w:right w:w="108" w:type="dxa"/>
          </w:tblCellMar>
        </w:tblPrEx>
        <w:trPr>
          <w:trHeight w:val="87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both"/>
              <w:rPr>
                <w:rFonts w:ascii="Arial" w:eastAsia="Arial" w:hAnsi="Arial" w:cs="Arial"/>
                <w:b w:val="0"/>
                <w:i w:val="0"/>
                <w:caps w:val="0"/>
                <w:strike w:val="0"/>
                <w:color w:val="000000"/>
                <w:sz w:val="24"/>
                <w:u w:val="none" w:color="000000"/>
                <w:vertAlign w:val="baseline"/>
              </w:rPr>
            </w:pPr>
            <w:r>
              <w:rPr>
                <w:sz w:val="22"/>
              </w:rPr>
              <w:t>IV.4</w:t>
            </w:r>
          </w:p>
        </w:tc>
        <w:tc>
          <w:tcPr>
            <w:tcW w:w="288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Eliminowanie niewłaściwego parkowania pojazdu na terenie miasta oraz zakazu ruchu w ścisłym centrum miasta.</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1. Zdecydowana reakcja służb porządkowych wobec kierujących pojazdami, którzy nie stosują się do przepisów ruchu drogowego.</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915"/>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Propagowanie zachowań mających na celu eliminowanie parkowania pojazdów w miejscach niedozwolonych zagrażających bezpieczeństwu ruchu drogowego.</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148"/>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IV.5</w:t>
            </w:r>
          </w:p>
        </w:tc>
        <w:tc>
          <w:tcPr>
            <w:tcW w:w="288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Przeciwdziałanie aktom wandalizmu przeciwko urządzeniom przeznaczonym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użytku publicznym.</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1. Zdecydowana reakcja służb porządkowych na akty dewastacji, wandalizmu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chuligaństwa na terenie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147"/>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Promowanie rozwiązań na rzecz budowania przestrzeni publicznej przyjaznej mieszkańcom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Wydział Komunikacji Medialnej i Promocji </w:t>
            </w:r>
          </w:p>
        </w:tc>
      </w:tr>
      <w:tr>
        <w:tblPrEx>
          <w:tblW w:w="5000" w:type="pct"/>
          <w:tblLayout w:type="fixed"/>
          <w:tblCellMar>
            <w:left w:w="108" w:type="dxa"/>
            <w:right w:w="108" w:type="dxa"/>
          </w:tblCellMar>
        </w:tblPrEx>
        <w:trPr>
          <w:trHeight w:val="723"/>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ilość nałożonych sankcji karnych za wykroczenia tzw. „porządkowe” w kolejnych latach realizacji programu;</w:t>
            </w:r>
          </w:p>
          <w:p>
            <w:pPr>
              <w:jc w:val="both"/>
            </w:pPr>
            <w:r>
              <w:rPr>
                <w:sz w:val="22"/>
              </w:rPr>
              <w:t>2) ilość nałożonych sankcji karnych za niewłaściwe parkowanie oraz łamanie zakazu ruchu w obu kierunkach w kolejnych latach realizacji programu.</w:t>
            </w:r>
          </w:p>
          <w:p>
            <w:pPr>
              <w:jc w:val="both"/>
            </w:pPr>
            <w:r>
              <w:rPr>
                <w:sz w:val="22"/>
              </w:rPr>
              <w:t>Podmiot wiodący: Straż Miejska.</w:t>
            </w:r>
          </w:p>
        </w:tc>
      </w:tr>
      <w:tr>
        <w:tblPrEx>
          <w:tblW w:w="5000" w:type="pct"/>
          <w:tblLayout w:type="fixed"/>
          <w:tblCellMar>
            <w:left w:w="108" w:type="dxa"/>
            <w:right w:w="108" w:type="dxa"/>
          </w:tblCellMar>
        </w:tblPrEx>
        <w:trPr>
          <w:trHeight w:val="715"/>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w:t>
            </w:r>
          </w:p>
          <w:p>
            <w:pPr>
              <w:jc w:val="both"/>
            </w:pPr>
            <w:r>
              <w:rPr>
                <w:sz w:val="22"/>
              </w:rPr>
              <w:t>V. Dążenie do dalszej poprawy bezpieczeństwa ruchu drogowego.</w:t>
            </w:r>
          </w:p>
        </w:tc>
      </w:tr>
      <w:tr>
        <w:tblPrEx>
          <w:tblW w:w="5000" w:type="pct"/>
          <w:tblLayout w:type="fixed"/>
          <w:tblCellMar>
            <w:left w:w="108" w:type="dxa"/>
            <w:right w:w="108" w:type="dxa"/>
          </w:tblCellMar>
        </w:tblPrEx>
        <w:trPr>
          <w:trHeight w:val="243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V.1</w:t>
            </w:r>
          </w:p>
        </w:tc>
        <w:tc>
          <w:tcPr>
            <w:tcW w:w="288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zdarzeń drogowych na terenie miasta Bytomia.</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Systematyczne dokonywanie kontroli prędkości pojazdów poruszających się po ulicach naszego miasta.</w:t>
            </w:r>
          </w:p>
          <w:p>
            <w:pPr>
              <w:jc w:val="left"/>
            </w:pPr>
            <w:r>
              <w:rPr>
                <w:sz w:val="22"/>
              </w:rPr>
              <w:t>2. Prowadzenie intensywnych działań w zakresie ujawnienia i eliminowania z ruchu kierujących pojazdami w stanie nietrzeźwości, po użyciu alkoholu lub innych środków odurzających.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737"/>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Bieżące weryfikowanie i ocenianie celowości ustawienia znaków drogowych poprzez bieżące opiniowanie nowych projektów i zmiany organizacji ruchu na terenie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Komunalny,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Zarząd Dróg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Mostów</w:t>
            </w:r>
          </w:p>
        </w:tc>
      </w:tr>
      <w:tr>
        <w:tblPrEx>
          <w:tblW w:w="5000" w:type="pct"/>
          <w:tblLayout w:type="fixed"/>
          <w:tblCellMar>
            <w:left w:w="108" w:type="dxa"/>
            <w:right w:w="108" w:type="dxa"/>
          </w:tblCellMar>
        </w:tblPrEx>
        <w:trPr>
          <w:trHeight w:val="465"/>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Dążenie do wprowadzania kolejnych odcinków tras przelotowych o skoordynowanej sygnalizacji świetlnej.</w:t>
            </w:r>
          </w:p>
          <w:p>
            <w:pPr>
              <w:jc w:val="left"/>
            </w:pPr>
            <w:r>
              <w:rPr>
                <w:sz w:val="22"/>
              </w:rPr>
              <w:t>5. Wprowadzanie rozwiązań technicznych na rzecz uspokojenia ruchu w miejscach uznanych za niebezpieczne.</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Komunalny</w:t>
            </w:r>
          </w:p>
        </w:tc>
      </w:tr>
      <w:tr>
        <w:tblPrEx>
          <w:tblW w:w="5000" w:type="pct"/>
          <w:tblLayout w:type="fixed"/>
          <w:tblCellMar>
            <w:left w:w="108" w:type="dxa"/>
            <w:right w:w="108" w:type="dxa"/>
          </w:tblCellMar>
        </w:tblPrEx>
        <w:trPr>
          <w:trHeight w:val="825"/>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6. Podnoszenie standardów oznakowania dróg poprzez wprowadzenie oznakowania poziomego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mas termoplastycznych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pionowego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wykorzystaniem znaków odblaskowych poprawiających ich widoczność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porze wieczorno-nocnej.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na bieżąco konserwacji znaków drogowych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barier chodnikowych.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Miejski Zarząd Dróg i Mostów</w:t>
            </w:r>
          </w:p>
        </w:tc>
      </w:tr>
      <w:tr>
        <w:tblPrEx>
          <w:tblW w:w="5000" w:type="pct"/>
          <w:tblLayout w:type="fixed"/>
          <w:tblCellMar>
            <w:left w:w="108" w:type="dxa"/>
            <w:right w:w="108" w:type="dxa"/>
          </w:tblCellMar>
        </w:tblPrEx>
        <w:trPr>
          <w:trHeight w:val="276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both"/>
              <w:rPr>
                <w:rFonts w:ascii="Arial" w:eastAsia="Arial" w:hAnsi="Arial" w:cs="Arial"/>
                <w:b w:val="0"/>
                <w:i w:val="0"/>
                <w:caps w:val="0"/>
                <w:strike w:val="0"/>
                <w:color w:val="000000"/>
                <w:sz w:val="24"/>
                <w:u w:val="none" w:color="000000"/>
                <w:vertAlign w:val="baseline"/>
              </w:rPr>
            </w:pPr>
            <w:r>
              <w:rPr>
                <w:sz w:val="22"/>
              </w:rPr>
              <w:t>V.2</w:t>
            </w:r>
          </w:p>
        </w:tc>
        <w:tc>
          <w:tcPr>
            <w:tcW w:w="288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Poprawa bezpieczeństwa niechronionych uczestników ruchu drogowego.</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Bieżące wyznaczanie przejść dla pieszych,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tym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 xml:space="preserve">z sygnalizacją świetlną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szczególnie zagrożonych.</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Prowadzenie akcji doświetlania przejść dla pieszych na terenie całego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3. Podejmowanie działań na rzecz systematycznego oddzielenia ruchu pieszego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rowerowego od ruchu pojazdów silnikowych.</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Miejski Zarząd Dróg</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Mostów</w:t>
            </w:r>
          </w:p>
        </w:tc>
      </w:tr>
      <w:tr>
        <w:tblPrEx>
          <w:tblW w:w="5000" w:type="pct"/>
          <w:tblLayout w:type="fixed"/>
          <w:tblCellMar>
            <w:left w:w="108" w:type="dxa"/>
            <w:right w:w="108" w:type="dxa"/>
          </w:tblCellMar>
        </w:tblPrEx>
        <w:trPr>
          <w:trHeight w:val="1185"/>
        </w:trPr>
        <w:tc>
          <w:tcPr>
            <w:tcW w:w="91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Kontynuacja prowadzonych akcji i programów profilaktycznych dot. bezpieczeństwa niechronionych uczestników ruchu drogowego.</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629"/>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Wskaźniki satysfakcji:</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ilości wypadków drogowych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kolejnych latach realizacji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wypadków,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których ofiarami są niechronieni użytkownicy dróg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kolejnych latach realizacji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wypadków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kolizji drogowych, których sprawcami są osoby po użyciu alkoholu lub innych środków odurzających;</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ofiar śmiertelnych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wypadkach drogowych.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Podmiot wiodący: Miejski Zarząd Dróg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Mostów.</w:t>
            </w:r>
            <w:r>
              <w:rPr>
                <w:rFonts w:ascii="Arial" w:eastAsia="Arial" w:hAnsi="Arial" w:cs="Arial"/>
                <w:b w:val="0"/>
                <w:i w:val="0"/>
                <w:caps w:val="0"/>
                <w:strike w:val="0"/>
                <w:color w:val="000000"/>
                <w:sz w:val="22"/>
                <w:u w:val="none" w:color="000000"/>
                <w:vertAlign w:val="baseline"/>
              </w:rPr>
              <w:br/>
            </w:r>
          </w:p>
        </w:tc>
      </w:tr>
      <w:tr>
        <w:tblPrEx>
          <w:tblW w:w="5000" w:type="pct"/>
          <w:tblLayout w:type="fixed"/>
          <w:tblCellMar>
            <w:left w:w="108" w:type="dxa"/>
            <w:right w:w="108" w:type="dxa"/>
          </w:tblCellMar>
        </w:tblPrEx>
        <w:trPr>
          <w:trHeight w:val="685"/>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Obszar działania:</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VI. Prowadzenie działań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podnoszenia świadomości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ochrony przeciwpożarowej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zasad właściwego zachowania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sytuacjach zagrażających bezpieczeństwu,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tym przygotowań na wypadek zaistnienia sytuacji kryzysowej.</w:t>
            </w:r>
            <w:r>
              <w:rPr>
                <w:rFonts w:ascii="Arial" w:eastAsia="Arial" w:hAnsi="Arial" w:cs="Arial"/>
                <w:b w:val="0"/>
                <w:i w:val="0"/>
                <w:caps w:val="0"/>
                <w:strike w:val="0"/>
                <w:color w:val="000000"/>
                <w:sz w:val="22"/>
                <w:u w:val="none" w:color="000000"/>
                <w:vertAlign w:val="baseline"/>
              </w:rPr>
              <w:br/>
            </w:r>
          </w:p>
        </w:tc>
      </w:tr>
      <w:tr>
        <w:tblPrEx>
          <w:tblW w:w="5000" w:type="pct"/>
          <w:tblLayout w:type="fixed"/>
          <w:tblCellMar>
            <w:left w:w="108" w:type="dxa"/>
            <w:right w:w="108" w:type="dxa"/>
          </w:tblCellMar>
        </w:tblPrEx>
        <w:trPr>
          <w:trHeight w:val="1260"/>
        </w:trPr>
        <w:tc>
          <w:tcPr>
            <w:tcW w:w="69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VI.1</w:t>
            </w:r>
          </w:p>
        </w:tc>
        <w:tc>
          <w:tcPr>
            <w:tcW w:w="310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ilości powstawania pożarów na terenie miasta.</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Prowadzenie akcji informacyjnej skierowanej do właścicieli i zarządców budynków mieszkalnych w zakresie właściwego zachowania eliminującego zagrożenia powstawania pożarów.</w:t>
            </w:r>
          </w:p>
          <w:p>
            <w:pPr>
              <w:jc w:val="left"/>
            </w:pPr>
            <w:r>
              <w:rPr>
                <w:sz w:val="22"/>
              </w:rPr>
              <w:t>2. Prowadzenie na bieżąco działań sprawdzająco-kontrolnych dot. przestrzegania przepisów ppoż. na terenie miasta.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Straży Pożarnej</w:t>
            </w:r>
          </w:p>
        </w:tc>
      </w:tr>
      <w:tr>
        <w:tblPrEx>
          <w:tblW w:w="5000" w:type="pct"/>
          <w:tblLayout w:type="fixed"/>
          <w:tblCellMar>
            <w:left w:w="108" w:type="dxa"/>
            <w:right w:w="108" w:type="dxa"/>
          </w:tblCellMar>
        </w:tblPrEx>
        <w:trPr>
          <w:trHeight w:val="615"/>
        </w:trPr>
        <w:tc>
          <w:tcPr>
            <w:tcW w:w="69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Prowadzenie na bieżąco działań profilaktycznych na terenie miasta w zakresie poprawy bezpieczeństwa i ochrony przeciwpożarowej.</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Straży Pożarnej,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Zarządzania Kryzysowego</w:t>
            </w:r>
          </w:p>
        </w:tc>
      </w:tr>
      <w:tr>
        <w:tblPrEx>
          <w:tblW w:w="5000" w:type="pct"/>
          <w:tblLayout w:type="fixed"/>
          <w:tblCellMar>
            <w:left w:w="108" w:type="dxa"/>
            <w:right w:w="108" w:type="dxa"/>
          </w:tblCellMar>
        </w:tblPrEx>
        <w:trPr>
          <w:trHeight w:val="2190"/>
        </w:trPr>
        <w:tc>
          <w:tcPr>
            <w:tcW w:w="69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4. Coroczne występowanie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właścicieli, zarządców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administratorów infrastruktury budowlanej na terenie miasta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 podjęcie działań sprawdzająco-kontrolnych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swoich zasobach celem ujawnienia usterek urządzeń grzewczo-kominowych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ich eliminowanie przed rozpoczęciem sezonu grzewczego.</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Wydział Zarządzania Kryzysowego </w:t>
            </w:r>
          </w:p>
        </w:tc>
      </w:tr>
      <w:tr>
        <w:tblPrEx>
          <w:tblW w:w="5000" w:type="pct"/>
          <w:tblLayout w:type="fixed"/>
          <w:tblCellMar>
            <w:left w:w="108" w:type="dxa"/>
            <w:right w:w="108" w:type="dxa"/>
          </w:tblCellMar>
        </w:tblPrEx>
        <w:trPr>
          <w:trHeight w:val="2130"/>
        </w:trPr>
        <w:tc>
          <w:tcPr>
            <w:tcW w:w="690" w:type="dxa"/>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VI.2</w:t>
            </w:r>
          </w:p>
        </w:tc>
        <w:tc>
          <w:tcPr>
            <w:tcW w:w="3105" w:type="dxa"/>
            <w:gridSpan w:val="2"/>
            <w:vMerge w:val="restart"/>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liczby zdarzeń związanych z zatruciem tlenkiem węgla.</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Coroczne prowadzenie przed sezonem grzewczym akcji informacyjnej dot. szkodliwości tlenku węgla na organizm ludzki i właściwym użytkowaniu urządzeń grzewczo-kominowych.</w:t>
            </w:r>
          </w:p>
          <w:p>
            <w:pPr>
              <w:jc w:val="left"/>
            </w:pPr>
            <w:r>
              <w:rPr>
                <w:sz w:val="22"/>
              </w:rPr>
              <w:t>2. W ramach kampanii „Nie dla czadu” przekazywanie na bieżąco informacji do lokalnej prasy.</w:t>
            </w:r>
          </w:p>
          <w:p>
            <w:pPr>
              <w:jc w:val="left"/>
            </w:pPr>
            <w:r>
              <w:rPr>
                <w:sz w:val="22"/>
              </w:rPr>
              <w:t>3. Zamieszczenie na stronach internetowych Komendy Miejskiej Państwowej Straży Pożarnej, Urzędu Miejskiego i Komendy Miejskiej Policji informacji na temat zagrożeń i przeciwdziałania zatruciem tlenkiem węgla.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Straży Pożarnej</w:t>
            </w:r>
          </w:p>
        </w:tc>
      </w:tr>
      <w:tr>
        <w:tblPrEx>
          <w:tblW w:w="5000" w:type="pct"/>
          <w:tblLayout w:type="fixed"/>
          <w:tblCellMar>
            <w:left w:w="108" w:type="dxa"/>
            <w:right w:w="108" w:type="dxa"/>
          </w:tblCellMar>
        </w:tblPrEx>
        <w:trPr>
          <w:trHeight w:val="1305"/>
        </w:trPr>
        <w:tc>
          <w:tcPr>
            <w:tcW w:w="690" w:type="dxa"/>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2"/>
            <w:vMerge/>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Wspieranie programów profilaktycznych dot. przeciwdziałania powstawania pożarów i innych zagrożeń bezpieczeństwa.</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Zarządzania Kryzysowego</w:t>
            </w:r>
          </w:p>
        </w:tc>
      </w:tr>
      <w:tr>
        <w:tblPrEx>
          <w:tblW w:w="5000" w:type="pct"/>
          <w:tblLayout w:type="fixed"/>
          <w:tblCellMar>
            <w:left w:w="108" w:type="dxa"/>
            <w:right w:w="108" w:type="dxa"/>
          </w:tblCellMar>
        </w:tblPrEx>
        <w:trPr>
          <w:trHeight w:val="1480"/>
        </w:trPr>
        <w:tc>
          <w:tcPr>
            <w:tcW w:w="69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VI.3</w:t>
            </w:r>
          </w:p>
        </w:tc>
        <w:tc>
          <w:tcPr>
            <w:tcW w:w="3105" w:type="dxa"/>
            <w:gridSpan w:val="2"/>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Edukacja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informowanie mieszkańców o</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zasadach właściwego zachowania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sytuacjach zagrożenia bezpieczeństwa,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tym na wypadek zaistnienia sytuacji kryzysowej.</w:t>
            </w:r>
          </w:p>
        </w:tc>
        <w:tc>
          <w:tcPr>
            <w:tcW w:w="3405"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Prowadzenie szkoleń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ramach powszechnej samoobrony ludności dot. stosownych zachowań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sytuacjach różnego rodzaju zagrożeń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uwzględnieniem umiejętności udzielenia pomocy przedmedycznej.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Bieżące doskonalenie Systemu Wczesnego Ostrzegania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Wykrywania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Alarmowania ludności na terenie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Bieżące wdrażanie procedur postępowania zawartych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„Planie Zarządzania Kryzysowego”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„Planie Obrony Cywilnej”.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Systematyczne doposażenie właściwych służb, inspekcji, straży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innych jednostek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niezbędny sprzęt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prowadzenia działań ratowniczych na terenie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Przeprowadzanie cyklicznych treningów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ćwiczeń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współdziałania służb inspekcji straży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innych jednostek podczas prowadzenia akcji ratowniczych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przypadku zaistnienia zagrożenia kryzysowego.</w:t>
            </w:r>
          </w:p>
        </w:tc>
        <w:tc>
          <w:tcPr>
            <w:tcW w:w="2880" w:type="dxa"/>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 xml:space="preserve">Wydział Zarządzania Kryzysowego </w:t>
            </w:r>
          </w:p>
        </w:tc>
      </w:tr>
      <w:tr>
        <w:tblPrEx>
          <w:tblW w:w="5000" w:type="pct"/>
          <w:tblLayout w:type="fixed"/>
          <w:tblCellMar>
            <w:left w:w="108" w:type="dxa"/>
            <w:right w:w="108" w:type="dxa"/>
          </w:tblCellMar>
        </w:tblPrEx>
        <w:trPr>
          <w:trHeight w:val="1050"/>
        </w:trPr>
        <w:tc>
          <w:tcPr>
            <w:tcW w:w="10080" w:type="dxa"/>
            <w:gridSpan w:val="5"/>
            <w:tcBorders>
              <w:top w:val="single" w:sz="4" w:space="0" w:color="auto"/>
              <w:left w:val="single" w:sz="4" w:space="0" w:color="auto"/>
              <w:bottom w:val="single" w:sz="2" w:space="0" w:color="auto"/>
              <w:right w:val="single" w:sz="4" w:space="0" w:color="auto"/>
            </w:tcBorders>
            <w:noWrap w:val="0"/>
            <w:tcMar>
              <w:top w:w="0" w:type="dxa"/>
              <w:left w:w="108" w:type="dxa"/>
              <w:bottom w:w="0" w:type="dxa"/>
              <w:right w:w="108" w:type="dxa"/>
            </w:tcMar>
            <w:textDirection w:val="lrTb"/>
            <w:vAlign w:val="top"/>
            <w:hideMark/>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left"/>
            </w:pPr>
            <w:r>
              <w:rPr>
                <w:sz w:val="22"/>
              </w:rPr>
              <w:t>1) ograniczenie ilości pożarów na terenie miasta w kolejnych latach realizacji programu;</w:t>
            </w:r>
          </w:p>
          <w:p>
            <w:pPr>
              <w:jc w:val="left"/>
            </w:pPr>
            <w:r>
              <w:rPr>
                <w:sz w:val="22"/>
              </w:rPr>
              <w:t>2) ograniczenie liczby zdarzeń powstałych w wyniku użytkowania niesprawnych urządzeń grzewczo-kominowych w kolejnych latach realizacji programu;</w:t>
            </w:r>
          </w:p>
          <w:p>
            <w:pPr>
              <w:jc w:val="left"/>
            </w:pPr>
            <w:r>
              <w:rPr>
                <w:sz w:val="22"/>
              </w:rPr>
              <w:t>3) ograniczenia liczby zatruć tlenkiem węgla w kolejnych latach realizacji programu.</w:t>
            </w:r>
          </w:p>
          <w:p>
            <w:pPr>
              <w:jc w:val="left"/>
            </w:pPr>
            <w:r>
              <w:rPr>
                <w:sz w:val="22"/>
              </w:rPr>
              <w:t>Podmiot wiodący: Komenda Miejska Państwowej Straży Pożarnej, Wydział Zarządzania Kryzysowego</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7. </w:t>
      </w:r>
      <w:r>
        <w:rPr>
          <w:rFonts w:ascii="Arial" w:eastAsia="Arial" w:hAnsi="Arial" w:cs="Arial"/>
          <w:b w:val="0"/>
          <w:i w:val="0"/>
          <w:caps w:val="0"/>
          <w:strike w:val="0"/>
          <w:color w:val="auto"/>
          <w:sz w:val="24"/>
          <w:u w:val="none"/>
          <w:vertAlign w:val="baseline"/>
        </w:rPr>
        <w:t>Podsumowanie</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Partnerzy programu wyznaczeni jako podmioty wiodące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realizacji poszczególnych kierunków działań zobowiązani będą do składania rocznych sprawozdań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wykonanych przedsięwzięć Miejskiego Programu Zapobiegania Przestępczości oraz Ochrony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Do wykonania poszczególnych zadań programu zobowiązani zostali wyznaczeni koordynatorzy zgodnie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posiadanymi kompetencjami, a</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ponadto realizacja przedsięwzięć programu odbywać się będzie m.in.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ramach: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Gminnego Programu Profilaktyki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Rozwiązywania Problemów Alkoholowych na lata 2024-2026;</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Bytomskiego Programu Przeciwdziałania Narkomanii;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Strategii Rozwiązywania Problemów Społecznych.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3. </w:t>
      </w:r>
      <w:r>
        <w:rPr>
          <w:rFonts w:ascii="Arial" w:eastAsia="Arial" w:hAnsi="Arial" w:cs="Arial"/>
          <w:b w:val="0"/>
          <w:i w:val="0"/>
          <w:caps w:val="0"/>
          <w:strike w:val="0"/>
          <w:color w:val="auto"/>
          <w:sz w:val="24"/>
          <w:u w:val="none"/>
          <w:vertAlign w:val="baseline"/>
        </w:rPr>
        <w:t>Miejski Program Zapobiegania Przestępczości oraz Ochrony Bezpieczeństwa Obywateli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na lata 2024-2026 powinien stanowić narzędzie wspierające realizację ustawowych działań samorządu terytorialnego na rzecz poprawy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na terenie miasta Bytomia.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12</w:t>
      </w:r>
      <w:r>
        <w:rPr>
          <w:rFonts w:eastAsia="Times New Roman" w:cs="Times New Roman"/>
          <w:szCs w:val="20"/>
        </w:rPr>
        <w:t xml:space="preserve"> </w:t>
      </w:r>
      <w:r>
        <w:rPr>
          <w:rFonts w:eastAsia="Times New Roman" w:cs="Times New Roman"/>
          <w:szCs w:val="20"/>
        </w:rPr>
        <w:t>pkt 9b oraz art. 92</w:t>
      </w:r>
      <w:r>
        <w:rPr>
          <w:rFonts w:eastAsia="Times New Roman" w:cs="Times New Roman"/>
          <w:szCs w:val="20"/>
        </w:rPr>
        <w:t xml:space="preserve"> </w:t>
      </w:r>
      <w:r>
        <w:rPr>
          <w:rFonts w:eastAsia="Times New Roman" w:cs="Times New Roman"/>
          <w:szCs w:val="20"/>
        </w:rPr>
        <w:t>ust. 1</w:t>
      </w:r>
      <w:r>
        <w:rPr>
          <w:rFonts w:eastAsia="Times New Roman" w:cs="Times New Roman"/>
          <w:szCs w:val="20"/>
        </w:rPr>
        <w:t xml:space="preserve"> </w:t>
      </w:r>
      <w:r>
        <w:rPr>
          <w:rFonts w:eastAsia="Times New Roman" w:cs="Times New Roman"/>
          <w:szCs w:val="20"/>
        </w:rPr>
        <w:t>pkt 1</w:t>
      </w:r>
      <w:r>
        <w:rPr>
          <w:rFonts w:eastAsia="Times New Roman" w:cs="Times New Roman"/>
          <w:szCs w:val="20"/>
        </w:rPr>
        <w:t xml:space="preserve"> </w:t>
      </w:r>
      <w:r>
        <w:rPr>
          <w:rFonts w:eastAsia="Times New Roman" w:cs="Times New Roman"/>
          <w:szCs w:val="20"/>
        </w:rPr>
        <w:t>i ust. 3</w:t>
      </w:r>
      <w:r>
        <w:rPr>
          <w:rFonts w:eastAsia="Times New Roman" w:cs="Times New Roman"/>
          <w:szCs w:val="20"/>
        </w:rPr>
        <w:t xml:space="preserve"> </w:t>
      </w:r>
      <w:r>
        <w:rPr>
          <w:rFonts w:eastAsia="Times New Roman" w:cs="Times New Roman"/>
          <w:szCs w:val="20"/>
        </w:rPr>
        <w:t>ustawy o samorządzie powiatowym (Dz. U. z 2022 r. poz. 1526, z późn. zm.) do wyłącznej właściwości rady powiatu należy uchwalenie powiatowego programu zapobiegania przestępczości oraz ochrony bezpieczeństwa obywateli i porządku publicznego. Na podstawie art. 38a ust. 2</w:t>
      </w:r>
      <w:r>
        <w:rPr>
          <w:rFonts w:eastAsia="Times New Roman" w:cs="Times New Roman"/>
          <w:szCs w:val="20"/>
        </w:rPr>
        <w:t xml:space="preserve"> </w:t>
      </w:r>
      <w:r>
        <w:rPr>
          <w:rFonts w:eastAsia="Times New Roman" w:cs="Times New Roman"/>
          <w:szCs w:val="20"/>
        </w:rPr>
        <w:t>ww. ustawy, przygotowanie projektu ww. programu należy do zadań Komisji Bezpieczeństwa i Porządku.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 dniem 31 grudnia 2023 roku upływa termin realizacji Miejskiego Programu Zapobiegania Przestępczości oraz Ochrony Bezpieczeństwa Obywateli i Porządku Publicznego w Bytomiu na lata 2021-2023, przyjętego uchwałą Rady Miejskiej w Bytomiu nr XXXVIII/534/21 z dnia 25 stycznia 2021 r.</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xml:space="preserve">Zgodnie ze swoimi kompetencjami ustawowymi, Komisja Bezpieczeństwa i Porządku opracowała nowy program pn. </w:t>
      </w:r>
      <w:r>
        <w:rPr>
          <w:rFonts w:eastAsia="Times New Roman" w:cs="Times New Roman"/>
          <w:color w:val="000000"/>
          <w:szCs w:val="20"/>
          <w:u w:color="000000"/>
        </w:rPr>
        <w:t>„</w:t>
      </w:r>
      <w:r>
        <w:rPr>
          <w:rFonts w:eastAsia="Times New Roman" w:cs="Times New Roman"/>
          <w:szCs w:val="20"/>
        </w:rPr>
        <w:t>Miejski Program Zapobiegania Przestępczości oraz Ochrony Bezpieczeństwa Obywateli i Porządku Publicznego na lata 2024-2026</w:t>
      </w:r>
      <w:r>
        <w:rPr>
          <w:rFonts w:eastAsia="Times New Roman" w:cs="Times New Roman"/>
          <w:color w:val="000000"/>
          <w:szCs w:val="20"/>
          <w:u w:color="000000"/>
        </w:rPr>
        <w:t>”</w:t>
      </w:r>
      <w:r>
        <w:rPr>
          <w:rFonts w:eastAsia="Times New Roman" w:cs="Times New Roman"/>
          <w:szCs w:val="20"/>
        </w:rPr>
        <w:t>.</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Uwzględniając powyższe, wnoszę o podjęcie przedmiotowej uchwały.</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Arial" w:eastAsia="Arial" w:hAnsi="Arial" w:cs="Arial"/>
              <w:b w:val="0"/>
              <w:sz w:val="18"/>
            </w:rPr>
          </w:pPr>
          <w:r>
            <w:rPr>
              <w:rFonts w:ascii="Arial" w:eastAsia="Arial" w:hAnsi="Arial" w:cs="Arial"/>
              <w:b w:val="0"/>
              <w:sz w:val="18"/>
            </w:rPr>
            <w:t>Id: D547D0FC-7D44-4D73-BC19-55540CAE5894.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Arial" w:eastAsia="Arial" w:hAnsi="Arial" w:cs="Arial"/>
              <w:b w:val="0"/>
              <w:sz w:val="18"/>
            </w:rPr>
          </w:pPr>
          <w:r>
            <w:rPr>
              <w:rFonts w:ascii="Arial" w:eastAsia="Arial" w:hAnsi="Arial" w:cs="Arial"/>
              <w:b w:val="0"/>
              <w:sz w:val="18"/>
            </w:rPr>
            <w:t>Id: D547D0FC-7D44-4D73-BC19-55540CAE5894.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Arial" w:eastAsia="Arial" w:hAnsi="Arial" w:cs="Arial"/>
              <w:b w:val="0"/>
              <w:sz w:val="18"/>
            </w:rPr>
          </w:pPr>
          <w:r>
            <w:rPr>
              <w:rFonts w:ascii="Arial" w:eastAsia="Arial" w:hAnsi="Arial" w:cs="Arial"/>
              <w:b w:val="0"/>
              <w:sz w:val="18"/>
            </w:rPr>
            <w:t>Id: D547D0FC-7D44-4D73-BC19-55540CAE5894.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LXXXIX/1127/24 z dnia 26 lutego 2024 r.</dc:title>
  <dc:subject>w sprawie przyjęcia Miejskiego Programu Zapobiegania Przestępczości oraz Ochrony Bezpieczeństwa Obywateli i^Porządku Publicznego w^Bytomiu na lata 2024-2026</dc:subject>
  <dc:creator>masocha</dc:creator>
  <cp:lastModifiedBy>masocha</cp:lastModifiedBy>
  <cp:revision>1</cp:revision>
  <dcterms:created xsi:type="dcterms:W3CDTF">2024-02-27T11:45:59Z</dcterms:created>
  <dcterms:modified xsi:type="dcterms:W3CDTF">2024-02-27T11:45:59Z</dcterms:modified>
  <cp:category>Akt prawny</cp:category>
</cp:coreProperties>
</file>