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2.4.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w:t>
      </w:r>
      <w:r>
        <w:rPr>
          <w:rFonts w:ascii="Arial" w:eastAsia="Arial" w:hAnsi="Arial" w:cs="Arial"/>
          <w:b/>
          <w:caps/>
          <w:sz w:val="24"/>
        </w:rPr>
        <w:t>....................</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 2024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przyjęcia Miejskiego Programu Zapobiegania Przestępczości oraz Ochrony Bezpieczeństwa Obywateli i Porządku Publicznego w Bytomiu na lata 2024-2026</w:t>
      </w:r>
    </w:p>
    <w:p w:rsidR="00A77B3E">
      <w:pPr>
        <w:keepNext w:val="0"/>
        <w:keepLines/>
        <w:spacing w:before="120" w:after="120" w:line="276"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9b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zw.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92 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powiatowym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1526,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 uchwala się, co następuje: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Przyjmuje się Miejski Program Zapobiegania Przestępczości oraz Ochrony Bezpieczeństwa Obywateli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 Publicznego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na lata 2024-2026, stanowiący załącznik do niniejszej uchwały.</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sectPr>
          <w:footerReference w:type="default" r:id="rId4"/>
          <w:endnotePr>
            <w:numFmt w:val="decimal"/>
          </w:endnotePr>
          <w:pgSz w:w="11906" w:h="16838"/>
          <w:pgMar w:top="1417" w:right="1020" w:bottom="992" w:left="1020" w:header="708" w:footer="708" w:gutter="0"/>
          <w:cols w:space="708"/>
          <w:docGrid w:linePitch="360"/>
        </w:sectPr>
      </w:pPr>
      <w:r>
        <w:rPr>
          <w:rFonts w:ascii="Arial" w:eastAsia="Arial" w:hAnsi="Arial" w:cs="Arial"/>
          <w:b/>
          <w:sz w:val="24"/>
        </w:rPr>
        <w:t>§ 3. </w:t>
      </w:r>
      <w:r>
        <w:rPr>
          <w:rFonts w:ascii="Arial" w:eastAsia="Arial" w:hAnsi="Arial" w:cs="Arial"/>
          <w:b w:val="0"/>
          <w:caps w:val="0"/>
          <w:strike w:val="0"/>
          <w:color w:val="auto"/>
          <w:sz w:val="24"/>
          <w:u w:val="none"/>
        </w:rPr>
        <w:t>Uchwała wchodzi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życie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dniem podjęcia.</w:t>
      </w:r>
    </w:p>
    <w:p w:rsidR="00A77B3E">
      <w:pPr>
        <w:keepNext/>
        <w:spacing w:before="120" w:after="120" w:line="276" w:lineRule="auto"/>
        <w:ind w:left="5064" w:right="0" w:firstLine="0"/>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Załącznik do uchwały Nr ....................</w:t>
      </w:r>
      <w:r>
        <w:rPr>
          <w:rFonts w:ascii="Arial" w:eastAsia="Arial" w:hAnsi="Arial" w:cs="Arial"/>
          <w:b w:val="0"/>
          <w:caps w:val="0"/>
          <w:strike w:val="0"/>
          <w:color w:val="auto"/>
          <w:sz w:val="24"/>
          <w:u w:val="none"/>
        </w:rPr>
        <w:br/>
      </w:r>
      <w:r>
        <w:rPr>
          <w:rFonts w:ascii="Arial" w:eastAsia="Arial" w:hAnsi="Arial" w:cs="Arial"/>
          <w:b w:val="0"/>
          <w:caps w:val="0"/>
          <w:strike w:val="0"/>
          <w:color w:val="auto"/>
          <w:sz w:val="24"/>
          <w:u w:val="none"/>
        </w:rPr>
        <w:t>Rady Miejskiej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r>
        <w:rPr>
          <w:rFonts w:ascii="Arial" w:eastAsia="Arial" w:hAnsi="Arial" w:cs="Arial"/>
          <w:b w:val="0"/>
          <w:caps w:val="0"/>
          <w:strike w:val="0"/>
          <w:color w:val="auto"/>
          <w:sz w:val="24"/>
          <w:u w:val="none"/>
        </w:rPr>
        <w:br/>
      </w:r>
      <w:r>
        <w:rPr>
          <w:rFonts w:ascii="Arial" w:eastAsia="Arial" w:hAnsi="Arial" w:cs="Arial"/>
          <w:b w:val="0"/>
          <w:caps w:val="0"/>
          <w:strike w:val="0"/>
          <w:color w:val="auto"/>
          <w:sz w:val="24"/>
          <w:u w:val="none"/>
        </w:rPr>
        <w:t>z dnia....................2024</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trike w:val="0"/>
          <w:color w:val="auto"/>
          <w:sz w:val="24"/>
          <w:u w:val="none"/>
        </w:rPr>
        <w:t>Miejski Program Zapobiegania Przestępczości oraz Ochrony</w:t>
      </w:r>
      <w:r>
        <w:rPr>
          <w:rFonts w:ascii="Arial" w:eastAsia="Arial" w:hAnsi="Arial" w:cs="Arial"/>
          <w:b/>
          <w:caps w:val="0"/>
          <w:strike w:val="0"/>
          <w:color w:val="auto"/>
          <w:sz w:val="24"/>
          <w:u w:val="none"/>
        </w:rPr>
        <w:br/>
      </w:r>
      <w:r>
        <w:rPr>
          <w:rFonts w:ascii="Arial" w:eastAsia="Arial" w:hAnsi="Arial" w:cs="Arial"/>
          <w:b/>
          <w:caps w:val="0"/>
          <w:strike w:val="0"/>
          <w:color w:val="auto"/>
          <w:sz w:val="24"/>
          <w:u w:val="none"/>
        </w:rPr>
        <w:t>Bezpieczeństwa Obywateli i</w:t>
      </w:r>
      <w:r>
        <w:rPr>
          <w:rFonts w:ascii="Arial" w:eastAsia="Arial" w:hAnsi="Arial" w:cs="Arial"/>
          <w:b/>
          <w:caps w:val="0"/>
          <w:strike w:val="0"/>
          <w:color w:val="auto"/>
          <w:sz w:val="24"/>
          <w:u w:val="none"/>
        </w:rPr>
        <w:t> </w:t>
      </w:r>
      <w:r>
        <w:rPr>
          <w:rFonts w:ascii="Arial" w:eastAsia="Arial" w:hAnsi="Arial" w:cs="Arial"/>
          <w:b/>
          <w:caps w:val="0"/>
          <w:strike w:val="0"/>
          <w:color w:val="auto"/>
          <w:sz w:val="24"/>
          <w:u w:val="none"/>
        </w:rPr>
        <w:t>Porządku Publicznego</w:t>
      </w:r>
      <w:r>
        <w:rPr>
          <w:rFonts w:ascii="Arial" w:eastAsia="Arial" w:hAnsi="Arial" w:cs="Arial"/>
          <w:b/>
          <w:caps w:val="0"/>
          <w:strike w:val="0"/>
          <w:color w:val="auto"/>
          <w:sz w:val="24"/>
          <w:u w:val="none"/>
        </w:rPr>
        <w:br/>
      </w:r>
      <w:r>
        <w:rPr>
          <w:rFonts w:ascii="Arial" w:eastAsia="Arial" w:hAnsi="Arial" w:cs="Arial"/>
          <w:b/>
          <w:caps w:val="0"/>
          <w:strike w:val="0"/>
          <w:color w:val="auto"/>
          <w:sz w:val="24"/>
          <w:u w:val="none"/>
        </w:rPr>
        <w:t>w Bytomiu na lata 2024-2026</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Ogólne założenia</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Miejski Program Zapobiegania Przestępczości oraz Ochrony Bezpieczeństwa Obywateli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 Publicznego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na lata 2024-2026 jest wynikiem realizacji obowiązku ustawowego zawartego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treści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9b 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38a 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5</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czerwca 1998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powiatowym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1526,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późn. zm.).</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Program opiera się na zintegrowanym systemie ochrony bezpieczeństwa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zasadach współpracy poszczególnych partnerów, realizujących zadania na różnych płaszczyznach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obszarach strefy bezpieczeństwa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 publicznego. Program będzie funkcjonował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formule ciągłego, kompleksowego, zdecydowanego podejmowania działań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przedsięwzięć mających na celu eliminowanie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ograniczanie negatywnych zjawisk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zachowań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przestrzeni publicznej, które budzą sprzeciw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poczucie zagrożenia. Będzie to program działań zespołowych podejmowanych przez wszystkich uczestników na rzecz poprawy bezpieczeństwa ogólnego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utrzymania ładu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 na terenie miasta Bytomia.</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Cel programu</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Celem Programu Zapobiegania Przestępczości oraz Ochrony Bezpieczeństwa Obywateli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 Publicznego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 na lata 2024-2026 jest odczuwalne podniesienie poziomu bezpieczeństwa – już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okresie jego realizacji. Szczególny nacisk zostanie położony na ten aspekt bezpieczeństwa publicznego, który dotyczy zwalczania przestępczości najbardziej uciążliwej dla mieszkańców miasta Bytomia. Podejmowane również będą inicjatywy mające na celu usuwanie przyczyn zagrożeń. Wymagać to będzie podejmowania, obok działań represyjnych, długofalowych działań profilaktyczno-prewencyjnych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wychowawczych.</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Program przyjmuje założenie, że dla osiągnięcia zakładanych celów niezbędne będzie podniesienie wzrostu świadomości społecznej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zakresie wspólnego działania dla poprawy bezpieczeństwa, przeciwdziałania przestępczości oraz innym zagrożeniom.</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Podmioty zaangażowane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realizację programu</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Podmioty zaangażowane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realizację programu:</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Wydział Zarządzania Kryzysowego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inne komórki organizacyjne Urzędu Miejskiego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Komenda Miejska Policji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Straż Miejska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4) </w:t>
      </w:r>
      <w:r>
        <w:rPr>
          <w:rFonts w:ascii="Arial" w:eastAsia="Arial" w:hAnsi="Arial" w:cs="Arial"/>
          <w:b w:val="0"/>
          <w:caps w:val="0"/>
          <w:strike w:val="0"/>
          <w:color w:val="auto"/>
          <w:sz w:val="24"/>
          <w:u w:val="none"/>
        </w:rPr>
        <w:t>Komenda Miejska Państwowej Straży Pożarnej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5) </w:t>
      </w:r>
      <w:r>
        <w:rPr>
          <w:rFonts w:ascii="Arial" w:eastAsia="Arial" w:hAnsi="Arial" w:cs="Arial"/>
          <w:b w:val="0"/>
          <w:caps w:val="0"/>
          <w:strike w:val="0"/>
          <w:color w:val="auto"/>
          <w:sz w:val="24"/>
          <w:u w:val="none"/>
        </w:rPr>
        <w:t>Ośrodek Interwencji Kryzysowej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6) </w:t>
      </w:r>
      <w:r>
        <w:rPr>
          <w:rFonts w:ascii="Arial" w:eastAsia="Arial" w:hAnsi="Arial" w:cs="Arial"/>
          <w:b w:val="0"/>
          <w:caps w:val="0"/>
          <w:strike w:val="0"/>
          <w:color w:val="auto"/>
          <w:sz w:val="24"/>
          <w:u w:val="none"/>
        </w:rPr>
        <w:t>Centrum Przeciwdziałania Uzależnieniom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7) </w:t>
      </w:r>
      <w:r>
        <w:rPr>
          <w:rFonts w:ascii="Arial" w:eastAsia="Arial" w:hAnsi="Arial" w:cs="Arial"/>
          <w:b w:val="0"/>
          <w:caps w:val="0"/>
          <w:strike w:val="0"/>
          <w:color w:val="auto"/>
          <w:sz w:val="24"/>
          <w:u w:val="none"/>
        </w:rPr>
        <w:t>Miejski Zarząd Dróg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Mostów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Bytomiu;</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8) </w:t>
      </w:r>
      <w:r>
        <w:rPr>
          <w:rFonts w:ascii="Arial" w:eastAsia="Arial" w:hAnsi="Arial" w:cs="Arial"/>
          <w:b w:val="0"/>
          <w:caps w:val="0"/>
          <w:strike w:val="0"/>
          <w:color w:val="auto"/>
          <w:sz w:val="24"/>
          <w:u w:val="none"/>
        </w:rPr>
        <w:t>Zespół Interdyscyplinarny ds. Przeciwdziałania Przemocy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Rodzinie;</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9) </w:t>
      </w:r>
      <w:r>
        <w:rPr>
          <w:rFonts w:ascii="Arial" w:eastAsia="Arial" w:hAnsi="Arial" w:cs="Arial"/>
          <w:b w:val="0"/>
          <w:caps w:val="0"/>
          <w:strike w:val="0"/>
          <w:color w:val="auto"/>
          <w:sz w:val="24"/>
          <w:u w:val="none"/>
        </w:rPr>
        <w:t>Miejska Komisja Rozwiązywania Problemów Alkoholowych;</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10) </w:t>
      </w:r>
      <w:r>
        <w:rPr>
          <w:rFonts w:ascii="Arial" w:eastAsia="Arial" w:hAnsi="Arial" w:cs="Arial"/>
          <w:b w:val="0"/>
          <w:caps w:val="0"/>
          <w:strike w:val="0"/>
          <w:color w:val="auto"/>
          <w:sz w:val="24"/>
          <w:u w:val="none"/>
        </w:rPr>
        <w:t>inne podmioty, działające na rzecz poprawy bezpieczeństwa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 na terenie miasta.</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Zadania programu koordynuje Prezydent Miasta jako przewodniczący Komisji Bezpieczeństwa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 lub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jego imieniu naczelnik Wydziału Zarządzania Kryzysowego – Pełnomocnik Prezydenta ds. Bezpieczeństwa Miasta przy pomocy członków Komisji Bezpieczeństwa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4. </w:t>
      </w:r>
      <w:r>
        <w:rPr>
          <w:rFonts w:ascii="Arial" w:eastAsia="Arial" w:hAnsi="Arial" w:cs="Arial"/>
          <w:b w:val="0"/>
          <w:caps w:val="0"/>
          <w:strike w:val="0"/>
          <w:color w:val="auto"/>
          <w:sz w:val="24"/>
          <w:u w:val="none"/>
        </w:rPr>
        <w:t>Struktura organizacyjna programu</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Poziom koordynacyjny:</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obrady plenarne Komisji Bezpieczeństwa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posiedzenia Miejskiego Zespołu ds. Koordynacji Działań Zewnętrznych Komendy Miejskiej Policji;</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posiedzenia Powiatowego Zespołu Zarządzania Kryzysowego;</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4) </w:t>
      </w:r>
      <w:r>
        <w:rPr>
          <w:rFonts w:ascii="Arial" w:eastAsia="Arial" w:hAnsi="Arial" w:cs="Arial"/>
          <w:b w:val="0"/>
          <w:caps w:val="0"/>
          <w:strike w:val="0"/>
          <w:color w:val="auto"/>
          <w:sz w:val="24"/>
          <w:u w:val="none"/>
        </w:rPr>
        <w:t>posiedzenia Komisji Komunalnej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 Publicznego Rady Miejskiej;</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5) </w:t>
      </w:r>
      <w:r>
        <w:rPr>
          <w:rFonts w:ascii="Arial" w:eastAsia="Arial" w:hAnsi="Arial" w:cs="Arial"/>
          <w:b w:val="0"/>
          <w:caps w:val="0"/>
          <w:strike w:val="0"/>
          <w:color w:val="auto"/>
          <w:sz w:val="24"/>
          <w:u w:val="none"/>
        </w:rPr>
        <w:t>posiedzenia Zespołu Interdyscyplinarnego ds. Przeciwdziałania Przemocy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Rodzinie;</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6) </w:t>
      </w:r>
      <w:r>
        <w:rPr>
          <w:rFonts w:ascii="Arial" w:eastAsia="Arial" w:hAnsi="Arial" w:cs="Arial"/>
          <w:b w:val="0"/>
          <w:caps w:val="0"/>
          <w:strike w:val="0"/>
          <w:color w:val="auto"/>
          <w:sz w:val="24"/>
          <w:u w:val="none"/>
        </w:rPr>
        <w:t>posiedzenia Miejskiej Komisji Rozwiązywania Problemów Alkoholowych.</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Poziom realizacyjny:</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miejskie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państwowe jednostki organizacyjne odpowiedzialne za bezpieczeństwo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porządek publiczny m.in.: Policja, Straż Miejska, Państwowa Straż Pożarna, jednostki organizacyjne podległe władzom samorządowym, wydziały Urzędu Miejskiego;</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organizacje pozarządowe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inne instytucje niepubliczne m.in.: agencje ochrony mienia, firmy ubezpieczeniowe, ochotnicze straże pożarne;</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środowiska lokalne, m.in.: wspólnoty mieszkaniowe, parafialne, spółdzielnie mieszkaniowe.</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Ocena realizacji zadań kierunkowych, analiza wskaźników satysfakcji oraz zlecanie nowych działań dokonywane będą podczas posiedzeń Komisji Bezpieczeństwa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Porządku przynajmniej raz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roku.</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5. </w:t>
      </w:r>
      <w:r>
        <w:rPr>
          <w:rFonts w:ascii="Arial" w:eastAsia="Arial" w:hAnsi="Arial" w:cs="Arial"/>
          <w:b w:val="0"/>
          <w:caps w:val="0"/>
          <w:strike w:val="0"/>
          <w:color w:val="auto"/>
          <w:sz w:val="24"/>
          <w:u w:val="none"/>
        </w:rPr>
        <w:t>Główne kierunki programu</w:t>
      </w:r>
    </w:p>
    <w:p w:rsidR="00A77B3E">
      <w:pPr>
        <w:keepNext w:val="0"/>
        <w:keepLines w:val="0"/>
        <w:spacing w:before="120" w:after="120" w:line="276" w:lineRule="auto"/>
        <w:ind w:left="0" w:right="0" w:firstLine="227"/>
        <w:jc w:val="both"/>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W wyniku przeprowadzonej analizy zagrożeń przestępczością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ustalenia potrzeb społecznych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zakresie ochrony bezpieczeństwa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utrzymania porządku na terenie miasta Bytomia określono następujące obszary działania:</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1) </w:t>
      </w:r>
      <w:r>
        <w:rPr>
          <w:rFonts w:ascii="Arial" w:eastAsia="Arial" w:hAnsi="Arial" w:cs="Arial"/>
          <w:b w:val="0"/>
          <w:caps w:val="0"/>
          <w:strike w:val="0"/>
          <w:color w:val="auto"/>
          <w:sz w:val="24"/>
          <w:u w:val="none"/>
        </w:rPr>
        <w:t>poprawa stanu bezpieczeństwa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mieście, wzrost poczucia bezpieczeństwa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zaufania do służb porządkowych tj. Policji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Straży Miejskiej wśród mieszkańców miasta Bytomia;</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2) </w:t>
      </w:r>
      <w:r>
        <w:rPr>
          <w:rFonts w:ascii="Arial" w:eastAsia="Arial" w:hAnsi="Arial" w:cs="Arial"/>
          <w:b w:val="0"/>
          <w:caps w:val="0"/>
          <w:strike w:val="0"/>
          <w:color w:val="auto"/>
          <w:sz w:val="24"/>
          <w:u w:val="none"/>
        </w:rPr>
        <w:t>aktywne przeciwdziałanie demoralizacji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przestępczości nieletnich;</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3) </w:t>
      </w:r>
      <w:r>
        <w:rPr>
          <w:rFonts w:ascii="Arial" w:eastAsia="Arial" w:hAnsi="Arial" w:cs="Arial"/>
          <w:b w:val="0"/>
          <w:caps w:val="0"/>
          <w:strike w:val="0"/>
          <w:color w:val="auto"/>
          <w:sz w:val="24"/>
          <w:u w:val="none"/>
        </w:rPr>
        <w:t>przeciwdziałanie patologiom społecznym tj. alkoholizmowi, narkomanii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przemocy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rodzinie;</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4) </w:t>
      </w:r>
      <w:r>
        <w:rPr>
          <w:rFonts w:ascii="Arial" w:eastAsia="Arial" w:hAnsi="Arial" w:cs="Arial"/>
          <w:b w:val="0"/>
          <w:caps w:val="0"/>
          <w:strike w:val="0"/>
          <w:color w:val="auto"/>
          <w:sz w:val="24"/>
          <w:u w:val="none"/>
        </w:rPr>
        <w:t>dążenie do poprawy porządku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czystości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mieście;</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5) </w:t>
      </w:r>
      <w:r>
        <w:rPr>
          <w:rFonts w:ascii="Arial" w:eastAsia="Arial" w:hAnsi="Arial" w:cs="Arial"/>
          <w:b w:val="0"/>
          <w:caps w:val="0"/>
          <w:strike w:val="0"/>
          <w:color w:val="auto"/>
          <w:sz w:val="24"/>
          <w:u w:val="none"/>
        </w:rPr>
        <w:t>dążenie do poprawy bezpieczeństwa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ruchu drogowym;</w:t>
      </w:r>
    </w:p>
    <w:p w:rsidR="00A77B3E">
      <w:pPr>
        <w:keepNext w:val="0"/>
        <w:keepLines w:val="0"/>
        <w:spacing w:before="120" w:after="120" w:line="276" w:lineRule="auto"/>
        <w:ind w:left="340" w:right="0" w:hanging="227"/>
        <w:jc w:val="left"/>
        <w:rPr>
          <w:rFonts w:ascii="Arial" w:eastAsia="Arial" w:hAnsi="Arial" w:cs="Arial"/>
          <w:b w:val="0"/>
          <w:caps w:val="0"/>
          <w:strike w:val="0"/>
          <w:color w:val="auto"/>
          <w:sz w:val="24"/>
          <w:u w:val="none"/>
        </w:rPr>
      </w:pPr>
      <w:r>
        <w:rPr>
          <w:rFonts w:ascii="Arial" w:eastAsia="Arial" w:hAnsi="Arial" w:cs="Arial"/>
          <w:sz w:val="24"/>
        </w:rPr>
        <w:t>6) </w:t>
      </w:r>
      <w:r>
        <w:rPr>
          <w:rFonts w:ascii="Arial" w:eastAsia="Arial" w:hAnsi="Arial" w:cs="Arial"/>
          <w:b w:val="0"/>
          <w:caps w:val="0"/>
          <w:strike w:val="0"/>
          <w:color w:val="auto"/>
          <w:sz w:val="24"/>
          <w:u w:val="none"/>
        </w:rPr>
        <w:t>prowadzenie działań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zakresie podnoszenia świadomości społecznej dot. ochrony ppoż. i</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zasad właściwego zachowania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sytuacjach zagrożenia, w</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tym przygotowań na wypadek zaistnienia sytuacji kryzysowej.</w:t>
      </w:r>
    </w:p>
    <w:p w:rsidR="00A77B3E">
      <w:pPr>
        <w:keepNext w:val="0"/>
        <w:keepLines/>
        <w:spacing w:before="120" w:after="120" w:line="276"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6. </w:t>
      </w:r>
      <w:r>
        <w:rPr>
          <w:rFonts w:ascii="Arial" w:eastAsia="Arial" w:hAnsi="Arial" w:cs="Arial"/>
          <w:b w:val="0"/>
          <w:caps w:val="0"/>
          <w:strike w:val="0"/>
          <w:color w:val="auto"/>
          <w:sz w:val="24"/>
          <w:u w:val="none"/>
        </w:rPr>
        <w:t>Harmonogram realizacji programu.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690"/>
        <w:gridCol w:w="225"/>
        <w:gridCol w:w="2010"/>
        <w:gridCol w:w="390"/>
        <w:gridCol w:w="240"/>
        <w:gridCol w:w="240"/>
        <w:gridCol w:w="3405"/>
        <w:gridCol w:w="288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val="539"/>
        </w:trPr>
        <w:tc>
          <w:tcPr>
            <w:tcW w:w="915" w:type="dxa"/>
            <w:gridSpan w:val="2"/>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auto"/>
                <w:sz w:val="24"/>
                <w:u w:val="none"/>
                <w:vertAlign w:val="baseline"/>
              </w:rPr>
            </w:pPr>
            <w:r>
              <w:rPr>
                <w:sz w:val="22"/>
              </w:rPr>
              <w:t>Poz.</w:t>
            </w:r>
          </w:p>
        </w:tc>
        <w:tc>
          <w:tcPr>
            <w:tcW w:w="2640" w:type="dxa"/>
            <w:gridSpan w:val="3"/>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auto"/>
                <w:sz w:val="24"/>
                <w:u w:val="none"/>
                <w:vertAlign w:val="baseline"/>
              </w:rPr>
            </w:pPr>
            <w:r>
              <w:rPr>
                <w:sz w:val="22"/>
              </w:rPr>
              <w:t>Kierunek działania</w:t>
            </w:r>
          </w:p>
        </w:tc>
        <w:tc>
          <w:tcPr>
            <w:tcW w:w="3645" w:type="dxa"/>
            <w:gridSpan w:val="2"/>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auto"/>
                <w:sz w:val="24"/>
                <w:u w:val="none"/>
                <w:vertAlign w:val="baseline"/>
              </w:rPr>
            </w:pPr>
            <w:r>
              <w:rPr>
                <w:sz w:val="22"/>
              </w:rPr>
              <w:t>Przedsięwzięcie</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0" w:after="0"/>
              <w:jc w:val="center"/>
              <w:rPr>
                <w:rFonts w:ascii="Arial" w:eastAsia="Arial" w:hAnsi="Arial" w:cs="Arial"/>
                <w:b w:val="0"/>
                <w:i w:val="0"/>
                <w:caps w:val="0"/>
                <w:strike w:val="0"/>
                <w:color w:val="auto"/>
                <w:sz w:val="24"/>
                <w:u w:val="none"/>
                <w:vertAlign w:val="baseline"/>
              </w:rPr>
            </w:pPr>
            <w:r>
              <w:rPr>
                <w:sz w:val="22"/>
              </w:rPr>
              <w:t>Koordynator</w:t>
            </w:r>
          </w:p>
        </w:tc>
      </w:tr>
      <w:tr>
        <w:tblPrEx>
          <w:tblW w:w="5000" w:type="pct"/>
          <w:tblLayout w:type="fixed"/>
          <w:tblCellMar>
            <w:left w:w="108" w:type="dxa"/>
            <w:right w:w="108" w:type="dxa"/>
          </w:tblCellMar>
        </w:tblPrEx>
        <w:trPr>
          <w:trHeight w:hRule="auto" w:val="0"/>
        </w:trPr>
        <w:tc>
          <w:tcPr>
            <w:tcW w:w="10080" w:type="dxa"/>
            <w:gridSpan w:val="8"/>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both"/>
              <w:rPr>
                <w:rFonts w:ascii="Arial" w:eastAsia="Arial" w:hAnsi="Arial" w:cs="Arial"/>
                <w:b w:val="0"/>
                <w:i w:val="0"/>
                <w:caps w:val="0"/>
                <w:strike w:val="0"/>
                <w:color w:val="auto"/>
                <w:sz w:val="24"/>
                <w:u w:val="none"/>
                <w:vertAlign w:val="baseline"/>
              </w:rPr>
            </w:pPr>
            <w:r>
              <w:rPr>
                <w:sz w:val="22"/>
              </w:rPr>
              <w:t>Obszar działania:</w:t>
            </w:r>
          </w:p>
          <w:p>
            <w:pPr>
              <w:jc w:val="left"/>
            </w:pPr>
            <w:r>
              <w:rPr>
                <w:sz w:val="22"/>
              </w:rPr>
              <w:t>І. Poprawa stanu bezpieczeństwa w mieście, wzrost poczucia bezpieczeństwa i zaufania do służb porządkowych tj. Policji i Straży Miejskiej wśród mieszkańców Bytomia.</w:t>
            </w:r>
          </w:p>
        </w:tc>
      </w:tr>
      <w:tr>
        <w:tblPrEx>
          <w:tblW w:w="5000" w:type="pct"/>
          <w:tblLayout w:type="fixed"/>
          <w:tblCellMar>
            <w:left w:w="108" w:type="dxa"/>
            <w:right w:w="108" w:type="dxa"/>
          </w:tblCellMar>
        </w:tblPrEx>
        <w:trPr>
          <w:trHeight w:hRule="auto" w:val="0"/>
        </w:trPr>
        <w:tc>
          <w:tcPr>
            <w:tcW w:w="915" w:type="dxa"/>
            <w:gridSpan w:val="2"/>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auto"/>
                <w:sz w:val="24"/>
                <w:u w:val="none"/>
                <w:vertAlign w:val="baseline"/>
              </w:rPr>
            </w:pPr>
            <w:r>
              <w:rPr>
                <w:sz w:val="22"/>
              </w:rPr>
              <w:t>І.1</w:t>
            </w:r>
          </w:p>
        </w:tc>
        <w:tc>
          <w:tcPr>
            <w:tcW w:w="2640" w:type="dxa"/>
            <w:gridSpan w:val="3"/>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0" w:after="0"/>
              <w:jc w:val="left"/>
              <w:rPr>
                <w:rFonts w:ascii="Arial" w:eastAsia="Arial" w:hAnsi="Arial" w:cs="Arial"/>
                <w:b w:val="0"/>
                <w:i w:val="0"/>
                <w:caps w:val="0"/>
                <w:strike w:val="0"/>
                <w:color w:val="auto"/>
                <w:sz w:val="24"/>
                <w:u w:val="none"/>
                <w:vertAlign w:val="baseline"/>
              </w:rPr>
            </w:pPr>
            <w:r>
              <w:rPr>
                <w:sz w:val="22"/>
              </w:rPr>
              <w:t>Analiza zagrożeń.</w:t>
            </w:r>
          </w:p>
        </w:tc>
        <w:tc>
          <w:tcPr>
            <w:tcW w:w="3645" w:type="dxa"/>
            <w:gridSpan w:val="2"/>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auto"/>
                <w:sz w:val="22"/>
                <w:u w:val="none"/>
                <w:vertAlign w:val="baseline"/>
              </w:rPr>
              <w:t>1. Sporządzanie analizy zagrożeń</w:t>
            </w:r>
            <w:r>
              <w:rPr>
                <w:rFonts w:ascii="Arial" w:eastAsia="Arial" w:hAnsi="Arial" w:cs="Arial"/>
                <w:b w:val="0"/>
                <w:i w:val="0"/>
                <w:caps w:val="0"/>
                <w:strike w:val="0"/>
                <w:color w:val="auto"/>
                <w:sz w:val="22"/>
                <w:u w:val="none"/>
                <w:vertAlign w:val="baseline"/>
              </w:rPr>
              <w:br/>
            </w:r>
            <w:r>
              <w:rPr>
                <w:rFonts w:ascii="Arial" w:eastAsia="Arial" w:hAnsi="Arial" w:cs="Arial"/>
                <w:b w:val="0"/>
                <w:i w:val="0"/>
                <w:caps w:val="0"/>
                <w:strike w:val="0"/>
                <w:color w:val="auto"/>
                <w:sz w:val="22"/>
                <w:u w:val="none"/>
                <w:vertAlign w:val="baseline"/>
              </w:rPr>
              <w:t>w cyklu miesięcznym.</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 Ocena stanu bezpieczeństwa podczas posiedzeń Zespołu ds. Koordynacji Działań Zewnętrznych.</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3. Systematyczne organizowanie spotkań z</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mieszkańcami.</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p>
          <w:p/>
          <w:p>
            <w:pPr>
              <w:jc w:val="left"/>
            </w:pPr>
            <w:r>
              <w:rPr>
                <w:sz w:val="22"/>
              </w:rPr>
              <w:t>Komenda Miejska Policji</w:t>
            </w:r>
          </w:p>
        </w:tc>
      </w:tr>
      <w:tr>
        <w:tblPrEx>
          <w:tblW w:w="5000" w:type="pct"/>
          <w:tblLayout w:type="fixed"/>
          <w:tblCellMar>
            <w:left w:w="108" w:type="dxa"/>
            <w:right w:w="108" w:type="dxa"/>
          </w:tblCellMar>
        </w:tblPrEx>
        <w:trPr>
          <w:trHeight w:hRule="auto" w:val="0"/>
        </w:trPr>
        <w:tc>
          <w:tcPr>
            <w:tcW w:w="915" w:type="dxa"/>
            <w:gridSpan w:val="2"/>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 xml:space="preserve">І.2 </w:t>
            </w:r>
          </w:p>
        </w:tc>
        <w:tc>
          <w:tcPr>
            <w:tcW w:w="2640" w:type="dxa"/>
            <w:gridSpan w:val="3"/>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Ograniczenie liczby przestępstw</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wykroczeń najbardziej uciążliwych</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dla mieszkańców.</w:t>
            </w:r>
          </w:p>
        </w:tc>
        <w:tc>
          <w:tcPr>
            <w:tcW w:w="3645" w:type="dxa"/>
            <w:gridSpan w:val="2"/>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Ufundowanie nagród przez Prezydenta Miasta dla funkcjonariuszy Policji i Straży Miejskiej wyróżniających się w działalności na rzecz poprawy bezpieczeństwa i porządku publicznego w mieście.</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p>
          <w:p>
            <w:pPr>
              <w:jc w:val="left"/>
            </w:pPr>
            <w:r>
              <w:rPr>
                <w:sz w:val="22"/>
              </w:rPr>
              <w:t xml:space="preserve">Wydział Zarządzania Kryzysowego </w:t>
            </w:r>
          </w:p>
        </w:tc>
      </w:tr>
      <w:tr>
        <w:tblPrEx>
          <w:tblW w:w="5000" w:type="pct"/>
          <w:tblLayout w:type="fixed"/>
          <w:tblCellMar>
            <w:left w:w="108" w:type="dxa"/>
            <w:right w:w="108" w:type="dxa"/>
          </w:tblCellMar>
        </w:tblPrEx>
        <w:trPr>
          <w:trHeight w:hRule="auto" w:val="0"/>
        </w:trPr>
        <w:tc>
          <w:tcPr>
            <w:tcW w:w="915" w:type="dxa"/>
            <w:gridSpan w:val="2"/>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І.3</w:t>
            </w:r>
          </w:p>
        </w:tc>
        <w:tc>
          <w:tcPr>
            <w:tcW w:w="2640" w:type="dxa"/>
            <w:gridSpan w:val="3"/>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Poprawa bezpieczeństwa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porządku publicznego</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rejonie lokali gastronomicznych</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punktach sprzedaży napojów alkoholowych.</w:t>
            </w:r>
          </w:p>
        </w:tc>
        <w:tc>
          <w:tcPr>
            <w:tcW w:w="3645" w:type="dxa"/>
            <w:gridSpan w:val="2"/>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 Systematyczne kontrole lokali gastronomicznych, punktów sprzedaży alkoholi i ich otoczenia.</w:t>
            </w:r>
          </w:p>
          <w:p>
            <w:pPr>
              <w:jc w:val="left"/>
            </w:pPr>
            <w:r>
              <w:rPr>
                <w:sz w:val="22"/>
              </w:rPr>
              <w:t>2. Bezwzględne karanie osób prowadzących handel bez wymaganych zezwoleń oraz sprzedających napoje alkoholowe w miejscach zabronionych.</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Komenda Miejska Policji,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Straż Miejska,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MKRPA</w:t>
            </w:r>
          </w:p>
        </w:tc>
      </w:tr>
      <w:tr>
        <w:tblPrEx>
          <w:tblW w:w="5000" w:type="pct"/>
          <w:tblLayout w:type="fixed"/>
          <w:tblCellMar>
            <w:left w:w="108" w:type="dxa"/>
            <w:right w:w="108" w:type="dxa"/>
          </w:tblCellMar>
        </w:tblPrEx>
        <w:trPr>
          <w:trHeight w:val="1545"/>
        </w:trPr>
        <w:tc>
          <w:tcPr>
            <w:tcW w:w="915" w:type="dxa"/>
            <w:gridSpan w:val="2"/>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І.4</w:t>
            </w:r>
          </w:p>
        </w:tc>
        <w:tc>
          <w:tcPr>
            <w:tcW w:w="2640" w:type="dxa"/>
            <w:gridSpan w:val="3"/>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Poprawa stanu bezpieczeństwa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miejscach publicznych – system monitoringu wizyjnego miasta.</w:t>
            </w:r>
          </w:p>
        </w:tc>
        <w:tc>
          <w:tcPr>
            <w:tcW w:w="3645" w:type="dxa"/>
            <w:gridSpan w:val="2"/>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Modernizacja i rozbudowa oraz bieżące serwisowanie działającego na terenie miasta systemu monitoringu wizyjnego.</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p>
          <w:p>
            <w:pPr>
              <w:jc w:val="left"/>
            </w:pPr>
            <w:r>
              <w:rPr>
                <w:sz w:val="22"/>
              </w:rPr>
              <w:t>Wydział Komunalny</w:t>
            </w:r>
          </w:p>
        </w:tc>
      </w:tr>
      <w:tr>
        <w:tblPrEx>
          <w:tblW w:w="5000" w:type="pct"/>
          <w:tblLayout w:type="fixed"/>
          <w:tblCellMar>
            <w:left w:w="108" w:type="dxa"/>
            <w:right w:w="108" w:type="dxa"/>
          </w:tblCellMar>
        </w:tblPrEx>
        <w:trPr>
          <w:trHeight w:hRule="auto" w:val="0"/>
        </w:trPr>
        <w:tc>
          <w:tcPr>
            <w:tcW w:w="915" w:type="dxa"/>
            <w:gridSpan w:val="2"/>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I.5</w:t>
            </w:r>
          </w:p>
        </w:tc>
        <w:tc>
          <w:tcPr>
            <w:tcW w:w="2640" w:type="dxa"/>
            <w:gridSpan w:val="3"/>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Dążenie do podniesienia rangi dzielnicowego.</w:t>
            </w:r>
          </w:p>
        </w:tc>
        <w:tc>
          <w:tcPr>
            <w:tcW w:w="3645" w:type="dxa"/>
            <w:gridSpan w:val="2"/>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 Coroczne organizowanie konkursu „Najlepszy dzielnicowy”.</w:t>
            </w:r>
          </w:p>
          <w:p>
            <w:pPr>
              <w:jc w:val="left"/>
            </w:pPr>
            <w:r>
              <w:rPr>
                <w:sz w:val="22"/>
              </w:rPr>
              <w:t>2. Realizacja koncepcji „Dzielnicowy bliżej nas”.</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p>
          <w:p>
            <w:pPr>
              <w:jc w:val="left"/>
            </w:pPr>
            <w:r>
              <w:rPr>
                <w:sz w:val="22"/>
              </w:rPr>
              <w:t>Komenda Miejska Policji</w:t>
            </w:r>
          </w:p>
        </w:tc>
      </w:tr>
      <w:tr>
        <w:tblPrEx>
          <w:tblW w:w="5000" w:type="pct"/>
          <w:tblLayout w:type="fixed"/>
          <w:tblCellMar>
            <w:left w:w="108" w:type="dxa"/>
            <w:right w:w="108" w:type="dxa"/>
          </w:tblCellMar>
        </w:tblPrEx>
        <w:trPr>
          <w:trHeight w:val="855"/>
        </w:trPr>
        <w:tc>
          <w:tcPr>
            <w:tcW w:w="915" w:type="dxa"/>
            <w:gridSpan w:val="2"/>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I.6</w:t>
            </w:r>
          </w:p>
        </w:tc>
        <w:tc>
          <w:tcPr>
            <w:tcW w:w="2640" w:type="dxa"/>
            <w:gridSpan w:val="3"/>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Stałe podnoszenie stanu zaufania do Policji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Straży Miejskiej.</w:t>
            </w:r>
          </w:p>
        </w:tc>
        <w:tc>
          <w:tcPr>
            <w:tcW w:w="3645" w:type="dxa"/>
            <w:gridSpan w:val="2"/>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 Systematyczne skracanie czasu reakcji na zgłaszane przez mieszkańców zdarzenia.</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 Podejmowanie działań na rzecz kompetentnej obsługi interesantów.</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 xml:space="preserve">3.Promowanie aplikacji KMZB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Moja Komenda.</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4. Profesjonalne prezentowanie efektów pracy Policji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Straży Miejskiej.</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Policji</w:t>
            </w:r>
          </w:p>
        </w:tc>
      </w:tr>
      <w:tr>
        <w:tblPrEx>
          <w:tblW w:w="5000" w:type="pct"/>
          <w:tblLayout w:type="fixed"/>
          <w:tblCellMar>
            <w:left w:w="108" w:type="dxa"/>
            <w:right w:w="108" w:type="dxa"/>
          </w:tblCellMar>
        </w:tblPrEx>
        <w:trPr>
          <w:trHeight w:val="772"/>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640" w:type="dxa"/>
            <w:gridSpan w:val="3"/>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64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Policji</w:t>
            </w:r>
          </w:p>
        </w:tc>
      </w:tr>
      <w:tr>
        <w:tblPrEx>
          <w:tblW w:w="5000" w:type="pct"/>
          <w:tblLayout w:type="fixed"/>
          <w:tblCellMar>
            <w:left w:w="108" w:type="dxa"/>
            <w:right w:w="108" w:type="dxa"/>
          </w:tblCellMar>
        </w:tblPrEx>
        <w:trPr>
          <w:trHeight w:val="855"/>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640" w:type="dxa"/>
            <w:gridSpan w:val="3"/>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64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Komenda Miejska Policji,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Straż Miejska</w:t>
            </w:r>
          </w:p>
        </w:tc>
      </w:tr>
      <w:tr>
        <w:tblPrEx>
          <w:tblW w:w="5000" w:type="pct"/>
          <w:tblLayout w:type="fixed"/>
          <w:tblCellMar>
            <w:left w:w="108" w:type="dxa"/>
            <w:right w:w="108" w:type="dxa"/>
          </w:tblCellMar>
        </w:tblPrEx>
        <w:trPr>
          <w:trHeight w:val="964"/>
        </w:trPr>
        <w:tc>
          <w:tcPr>
            <w:tcW w:w="915" w:type="dxa"/>
            <w:gridSpan w:val="2"/>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I.7</w:t>
            </w:r>
          </w:p>
        </w:tc>
        <w:tc>
          <w:tcPr>
            <w:tcW w:w="2640" w:type="dxa"/>
            <w:gridSpan w:val="3"/>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Motywowanie społeczeństwa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podejmowaniu działań na rzecz bezpieczeństwa.</w:t>
            </w:r>
          </w:p>
        </w:tc>
        <w:tc>
          <w:tcPr>
            <w:tcW w:w="3645" w:type="dxa"/>
            <w:gridSpan w:val="2"/>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 Organizowanie cyklicznych spotkań i debat.</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Kancelaria Prezydenta Miasta,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Komenda Miejska Policji</w:t>
            </w:r>
          </w:p>
        </w:tc>
      </w:tr>
      <w:tr>
        <w:tblPrEx>
          <w:tblW w:w="5000" w:type="pct"/>
          <w:tblLayout w:type="fixed"/>
          <w:tblCellMar>
            <w:left w:w="108" w:type="dxa"/>
            <w:right w:w="108" w:type="dxa"/>
          </w:tblCellMar>
        </w:tblPrEx>
        <w:trPr>
          <w:trHeight w:val="1222"/>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640" w:type="dxa"/>
            <w:gridSpan w:val="3"/>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645" w:type="dxa"/>
            <w:gridSpan w:val="2"/>
            <w:tcBorders>
              <w:top w:val="single" w:sz="4" w:space="0" w:color="auto"/>
              <w:left w:val="single" w:sz="2" w:space="0" w:color="auto"/>
              <w:bottom w:val="nil"/>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 Realizacja programów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kampanii profilaktycznych takich jak m.in.:</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”Razem bezpieczniej”, „Kręci mnie bezpieczeństwo”, „Bezpieczny senior”.</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p>
          <w:p>
            <w:pPr>
              <w:jc w:val="left"/>
            </w:pPr>
            <w:r>
              <w:rPr>
                <w:sz w:val="22"/>
              </w:rPr>
              <w:t>Komenda Miejska Policji</w:t>
            </w:r>
          </w:p>
        </w:tc>
      </w:tr>
      <w:tr>
        <w:tblPrEx>
          <w:tblW w:w="5000" w:type="pct"/>
          <w:tblLayout w:type="fixed"/>
          <w:tblCellMar>
            <w:left w:w="108" w:type="dxa"/>
            <w:right w:w="108" w:type="dxa"/>
          </w:tblCellMar>
        </w:tblPrEx>
        <w:trPr>
          <w:trHeight w:hRule="auto" w:val="0"/>
        </w:trPr>
        <w:tc>
          <w:tcPr>
            <w:tcW w:w="10080" w:type="dxa"/>
            <w:gridSpan w:val="8"/>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Wskaźniki satysfakcji:</w:t>
            </w:r>
          </w:p>
          <w:p>
            <w:pPr>
              <w:jc w:val="both"/>
            </w:pPr>
            <w:r>
              <w:rPr>
                <w:sz w:val="22"/>
              </w:rPr>
              <w:t>1) utrzymanie dynamiki przestępstw najbardziej uciążliwych dla mieszkańców w poszczególnych latach realizacji programu poniżej 100%;</w:t>
            </w:r>
          </w:p>
          <w:p>
            <w:pPr>
              <w:jc w:val="both"/>
            </w:pPr>
            <w:r>
              <w:rPr>
                <w:sz w:val="22"/>
              </w:rPr>
              <w:t>2) utrzymanie tendencji wzrostowej w zakresie poczucia bezpieczeństwa wśród mieszkańców miasta Bytomia.</w:t>
            </w:r>
          </w:p>
          <w:p>
            <w:pPr>
              <w:jc w:val="left"/>
            </w:pPr>
            <w:r>
              <w:rPr>
                <w:sz w:val="22"/>
              </w:rPr>
              <w:t>Podmiot wiodący: Komenda Miejska Policji</w:t>
            </w:r>
          </w:p>
        </w:tc>
      </w:tr>
      <w:tr>
        <w:tblPrEx>
          <w:tblW w:w="5000" w:type="pct"/>
          <w:tblLayout w:type="fixed"/>
          <w:tblCellMar>
            <w:left w:w="108" w:type="dxa"/>
            <w:right w:w="108" w:type="dxa"/>
          </w:tblCellMar>
        </w:tblPrEx>
        <w:trPr>
          <w:trHeight w:hRule="auto" w:val="0"/>
        </w:trPr>
        <w:tc>
          <w:tcPr>
            <w:tcW w:w="10080" w:type="dxa"/>
            <w:gridSpan w:val="8"/>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Obszar działania :</w:t>
            </w:r>
          </w:p>
          <w:p>
            <w:pPr>
              <w:jc w:val="both"/>
            </w:pPr>
            <w:r>
              <w:rPr>
                <w:sz w:val="22"/>
              </w:rPr>
              <w:t>II. Aktywne przeciwdziałanie demoralizacji i przestępczości nieletnich.</w:t>
            </w:r>
          </w:p>
        </w:tc>
      </w:tr>
      <w:tr>
        <w:tblPrEx>
          <w:tblW w:w="5000" w:type="pct"/>
          <w:tblLayout w:type="fixed"/>
          <w:tblCellMar>
            <w:left w:w="108" w:type="dxa"/>
            <w:right w:w="108" w:type="dxa"/>
          </w:tblCellMar>
        </w:tblPrEx>
        <w:trPr>
          <w:trHeight w:val="2250"/>
        </w:trPr>
        <w:tc>
          <w:tcPr>
            <w:tcW w:w="915" w:type="dxa"/>
            <w:gridSpan w:val="2"/>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II.1</w:t>
            </w:r>
          </w:p>
        </w:tc>
        <w:tc>
          <w:tcPr>
            <w:tcW w:w="2400" w:type="dxa"/>
            <w:gridSpan w:val="2"/>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Ograniczenie przestępczości nieletnich.</w:t>
            </w:r>
          </w:p>
        </w:tc>
        <w:tc>
          <w:tcPr>
            <w:tcW w:w="3885" w:type="dxa"/>
            <w:gridSpan w:val="3"/>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 Bieżące kontynuowanie współpracy Policji i Straży Miejskiej z bytomskimi szkołami w zakresie wymiany informacji na terenie szkół. alkoholu.</w:t>
            </w:r>
          </w:p>
          <w:p>
            <w:pPr>
              <w:jc w:val="left"/>
            </w:pPr>
            <w:r>
              <w:rPr>
                <w:sz w:val="22"/>
              </w:rPr>
              <w:t>2. Systematyczne organizowanie spotkań, prelekcji i pogadanek w bytomskich placówkach oświatowych.</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Komenda Miejska Policji,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Straż Miejska</w:t>
            </w:r>
          </w:p>
        </w:tc>
      </w:tr>
      <w:tr>
        <w:tblPrEx>
          <w:tblW w:w="5000" w:type="pct"/>
          <w:tblLayout w:type="fixed"/>
          <w:tblCellMar>
            <w:left w:w="108" w:type="dxa"/>
            <w:right w:w="108" w:type="dxa"/>
          </w:tblCellMar>
        </w:tblPrEx>
        <w:trPr>
          <w:trHeight w:val="1590"/>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400"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885" w:type="dxa"/>
            <w:gridSpan w:val="3"/>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3. Analizowanie na bieżąco przyczyn niedostosowania społecznego wśród dzieci i młodzieży szkolnej.</w:t>
            </w:r>
          </w:p>
          <w:p>
            <w:pPr>
              <w:jc w:val="left"/>
            </w:pPr>
            <w:r>
              <w:rPr>
                <w:sz w:val="22"/>
              </w:rPr>
              <w:t>4. Bieżące kontrole realizacji obowiązku szkolnego i obowiązku nauki.</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Wydział Edukacji</w:t>
            </w:r>
          </w:p>
        </w:tc>
      </w:tr>
      <w:tr>
        <w:tblPrEx>
          <w:tblW w:w="5000" w:type="pct"/>
          <w:tblLayout w:type="fixed"/>
          <w:tblCellMar>
            <w:left w:w="108" w:type="dxa"/>
            <w:right w:w="108" w:type="dxa"/>
          </w:tblCellMar>
        </w:tblPrEx>
        <w:trPr>
          <w:trHeight w:val="1755"/>
        </w:trPr>
        <w:tc>
          <w:tcPr>
            <w:tcW w:w="915" w:type="dxa"/>
            <w:gridSpan w:val="2"/>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II.2</w:t>
            </w:r>
          </w:p>
        </w:tc>
        <w:tc>
          <w:tcPr>
            <w:tcW w:w="2400" w:type="dxa"/>
            <w:gridSpan w:val="2"/>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Podniesienie bezpieczeństwa dzieci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młodzieży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szkołach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ich okolicy.</w:t>
            </w:r>
          </w:p>
        </w:tc>
        <w:tc>
          <w:tcPr>
            <w:tcW w:w="3885" w:type="dxa"/>
            <w:gridSpan w:val="3"/>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 Kontynuowanie ścisłej współpracy pomiędzy nauczycielami, rodzicami, uczniami, Policją, Strażą Miejską oraz innymi instytucjami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 xml:space="preserve">organizacjami społecznymi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zakresie kształtowania bezpiecznych zachowań dzieci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młodzieży.</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Wydział Edukacji</w:t>
            </w:r>
          </w:p>
        </w:tc>
      </w:tr>
      <w:tr>
        <w:tblPrEx>
          <w:tblW w:w="5000" w:type="pct"/>
          <w:tblLayout w:type="fixed"/>
          <w:tblCellMar>
            <w:left w:w="108" w:type="dxa"/>
            <w:right w:w="108" w:type="dxa"/>
          </w:tblCellMar>
        </w:tblPrEx>
        <w:trPr>
          <w:trHeight w:val="810"/>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400"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885" w:type="dxa"/>
            <w:gridSpan w:val="3"/>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2. Kontynuowanie corocznych akcji „Bezpieczne Ferie”, „Bezpieczne Wakacje”.</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Policji</w:t>
            </w:r>
          </w:p>
        </w:tc>
      </w:tr>
      <w:tr>
        <w:tblPrEx>
          <w:tblW w:w="5000" w:type="pct"/>
          <w:tblLayout w:type="fixed"/>
          <w:tblCellMar>
            <w:left w:w="108" w:type="dxa"/>
            <w:right w:w="108" w:type="dxa"/>
          </w:tblCellMar>
        </w:tblPrEx>
        <w:trPr>
          <w:trHeight w:val="1650"/>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400"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885" w:type="dxa"/>
            <w:gridSpan w:val="3"/>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3. Kontynuowanie corocznych spektakli profilaktyczno – edukacyjnych dla bytomskich pierwszoklasistów propagujących bezpieczną drogę do szkoły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 xml:space="preserve">bezpiecznego spędzania ferii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wakacji.</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Wydział Zarządzania Kryzysowego,</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Komenda Miejska Policji</w:t>
            </w:r>
          </w:p>
        </w:tc>
      </w:tr>
      <w:tr>
        <w:tblPrEx>
          <w:tblW w:w="5000" w:type="pct"/>
          <w:tblLayout w:type="fixed"/>
          <w:tblCellMar>
            <w:left w:w="108" w:type="dxa"/>
            <w:right w:w="108" w:type="dxa"/>
          </w:tblCellMar>
        </w:tblPrEx>
        <w:trPr>
          <w:trHeight w:val="1725"/>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400"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885" w:type="dxa"/>
            <w:gridSpan w:val="3"/>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4. Kontynuacja dotychczasowych programów profilaktycznych prowadzonych przez Policję, Straż Miejską i placówki oświatowe oraz wdrażanie nowych autorskich programów profilaktycznych zgodnie z zapotrzebowaniem na terenie bytomskich szkół.</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Komenda Miejska Policji,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Straż Miejska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Wydział Edukacji</w:t>
            </w:r>
          </w:p>
        </w:tc>
      </w:tr>
      <w:tr>
        <w:tblPrEx>
          <w:tblW w:w="5000" w:type="pct"/>
          <w:tblLayout w:type="fixed"/>
          <w:tblCellMar>
            <w:left w:w="108" w:type="dxa"/>
            <w:right w:w="108" w:type="dxa"/>
          </w:tblCellMar>
        </w:tblPrEx>
        <w:trPr>
          <w:trHeight w:val="1545"/>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400"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885" w:type="dxa"/>
            <w:gridSpan w:val="3"/>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5. Zakup materiałów edukacyjnych na potrzeby programów profilaktycznych.</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Komenda Miejska Policji,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Straż Miejska,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Wydział Edukacji, Wydział Zarządzania Kryzysowego</w:t>
            </w:r>
          </w:p>
        </w:tc>
      </w:tr>
      <w:tr>
        <w:tblPrEx>
          <w:tblW w:w="5000" w:type="pct"/>
          <w:tblLayout w:type="fixed"/>
          <w:tblCellMar>
            <w:left w:w="108" w:type="dxa"/>
            <w:right w:w="108" w:type="dxa"/>
          </w:tblCellMar>
        </w:tblPrEx>
        <w:trPr>
          <w:trHeight w:hRule="auto" w:val="0"/>
        </w:trPr>
        <w:tc>
          <w:tcPr>
            <w:tcW w:w="10080" w:type="dxa"/>
            <w:gridSpan w:val="8"/>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Wskaźniki satysfakcji:</w:t>
            </w:r>
          </w:p>
          <w:p>
            <w:pPr>
              <w:jc w:val="both"/>
            </w:pPr>
            <w:r>
              <w:rPr>
                <w:sz w:val="22"/>
              </w:rPr>
              <w:t>1) utrzymanie dynamiki ujawnionych czynów karalnych w poszczególnych latach realizacji programu poniżej 100%;</w:t>
            </w:r>
          </w:p>
          <w:p>
            <w:pPr>
              <w:jc w:val="both"/>
            </w:pPr>
            <w:r>
              <w:rPr>
                <w:sz w:val="22"/>
              </w:rPr>
              <w:t>2) utrzymanie tendencji wzrostowej w zakresie stanu poczucia bezpieczeństwa na terenie szkoły i poza nią wśród dzieci i młodzieży szkolnej.</w:t>
            </w:r>
          </w:p>
          <w:p>
            <w:pPr>
              <w:jc w:val="left"/>
            </w:pPr>
            <w:r>
              <w:rPr>
                <w:sz w:val="22"/>
              </w:rPr>
              <w:t>Podmiot wiodący: Wydział Edukacji</w:t>
            </w:r>
          </w:p>
        </w:tc>
      </w:tr>
      <w:tr>
        <w:tblPrEx>
          <w:tblW w:w="5000" w:type="pct"/>
          <w:tblLayout w:type="fixed"/>
          <w:tblCellMar>
            <w:left w:w="108" w:type="dxa"/>
            <w:right w:w="108" w:type="dxa"/>
          </w:tblCellMar>
        </w:tblPrEx>
        <w:trPr>
          <w:trHeight w:hRule="auto" w:val="0"/>
        </w:trPr>
        <w:tc>
          <w:tcPr>
            <w:tcW w:w="10080" w:type="dxa"/>
            <w:gridSpan w:val="8"/>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Obszar działania:</w:t>
            </w:r>
          </w:p>
          <w:p>
            <w:pPr>
              <w:jc w:val="both"/>
            </w:pPr>
            <w:r>
              <w:rPr>
                <w:sz w:val="22"/>
              </w:rPr>
              <w:t>ІІІ. Przeciwdziałanie patologiom społecznym tj. alkoholizmowi, narkomanii i przemocy domowej.</w:t>
            </w:r>
          </w:p>
        </w:tc>
      </w:tr>
      <w:tr>
        <w:tblPrEx>
          <w:tblW w:w="5000" w:type="pct"/>
          <w:tblLayout w:type="fixed"/>
          <w:tblCellMar>
            <w:left w:w="108" w:type="dxa"/>
            <w:right w:w="108" w:type="dxa"/>
          </w:tblCellMar>
        </w:tblPrEx>
        <w:trPr>
          <w:trHeight w:val="2505"/>
        </w:trPr>
        <w:tc>
          <w:tcPr>
            <w:tcW w:w="915" w:type="dxa"/>
            <w:gridSpan w:val="2"/>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ІІІ.1</w:t>
            </w:r>
          </w:p>
        </w:tc>
        <w:tc>
          <w:tcPr>
            <w:tcW w:w="201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Przeciwdziałanie alkoholizmowi.</w:t>
            </w: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 Kontynuowanie współpracy partnerów programu na rzecz przeciwdziałania alkoholizmowi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ramach realizacji zadań wynikających z</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ustawy o</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wychowaniu</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trzeźwości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przeciwdziałaniu alkoholizmowi.</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 Kontynuowanie działalności profilaktycznych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bytomskich szkołach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zakresie przeciwdziałania alkoholizmowi.</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Centrum Przeciwdziałania Uzależnieniom,</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Komenda Miejska Policji,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Straż Miejska</w:t>
            </w:r>
          </w:p>
        </w:tc>
      </w:tr>
      <w:tr>
        <w:tblPrEx>
          <w:tblW w:w="5000" w:type="pct"/>
          <w:tblLayout w:type="fixed"/>
          <w:tblCellMar>
            <w:left w:w="108" w:type="dxa"/>
            <w:right w:w="108" w:type="dxa"/>
          </w:tblCellMar>
        </w:tblPrEx>
        <w:trPr>
          <w:trHeight w:val="3135"/>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3. Podejmowanie właściwych działań represyjno-prewencyjnych przez Policję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Straż Miejską wobec osób spożywających alkohol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miejscach zabronionych.</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4. Utrzymanie stałego kontaktu</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z pedagogami szkolnymi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dyrektorami szkół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celu bieżącego monitorowania zachowań uczniów pod kątem spożycia alkoholu.</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5. Ścisła współpraca z</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Miejską Komisją ds. Rozwiązywania Problemów Alkoholowych.</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Komenda Miejska Policji,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Straż Miejska</w:t>
            </w:r>
          </w:p>
        </w:tc>
      </w:tr>
      <w:tr>
        <w:tblPrEx>
          <w:tblW w:w="5000" w:type="pct"/>
          <w:tblLayout w:type="fixed"/>
          <w:tblCellMar>
            <w:left w:w="108" w:type="dxa"/>
            <w:right w:w="108" w:type="dxa"/>
          </w:tblCellMar>
        </w:tblPrEx>
        <w:trPr>
          <w:trHeight w:val="1075"/>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6. Monitorowanie wydanych zezwoleń na sprzedaż alkoholu zgodnie z uchwałą RM w tym zakresie.</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Referat Działalności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Gospodarczej</w:t>
            </w:r>
          </w:p>
        </w:tc>
      </w:tr>
      <w:tr>
        <w:tblPrEx>
          <w:tblW w:w="5000" w:type="pct"/>
          <w:tblLayout w:type="fixed"/>
          <w:tblCellMar>
            <w:left w:w="108" w:type="dxa"/>
            <w:right w:w="108" w:type="dxa"/>
          </w:tblCellMar>
        </w:tblPrEx>
        <w:trPr>
          <w:trHeight w:val="1500"/>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7. Prowadzenie rozmów motywujących</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z osobami opuszczającymi Izbę Wytrzeźwień.</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8. Prowadzenie konsultacji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terapii grupowej dla osób uzależnionych od alkoholu.</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9. Prowadzenie szkoleń dla grup zawodowych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zakresie profilaktyki uzależnienia od alkoholi, skutecznych oddziaływań.</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Centrum Przeciwdziałania Uzależnieniom</w:t>
            </w:r>
          </w:p>
        </w:tc>
      </w:tr>
      <w:tr>
        <w:tblPrEx>
          <w:tblW w:w="5000" w:type="pct"/>
          <w:tblLayout w:type="fixed"/>
          <w:tblCellMar>
            <w:left w:w="108" w:type="dxa"/>
            <w:right w:w="108" w:type="dxa"/>
          </w:tblCellMar>
        </w:tblPrEx>
        <w:trPr>
          <w:trHeight w:val="955"/>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10. Prowadzenie zajęć profilaktycznych skierowanych do osób bezdomnych przebywających w noclegowni.</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Miejski Ośrodek Pomocy Rodzinie</w:t>
            </w:r>
          </w:p>
        </w:tc>
      </w:tr>
      <w:tr>
        <w:tblPrEx>
          <w:tblW w:w="5000" w:type="pct"/>
          <w:tblLayout w:type="fixed"/>
          <w:tblCellMar>
            <w:left w:w="108" w:type="dxa"/>
            <w:right w:w="108" w:type="dxa"/>
          </w:tblCellMar>
        </w:tblPrEx>
        <w:trPr>
          <w:trHeight w:val="1265"/>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11. Prowadzenie pogadanek skierowanych do dzieci i młodzieży o konsekwencjach prawnych spożywania alkoholu w miejscach zabronionych.</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Policji</w:t>
            </w:r>
          </w:p>
        </w:tc>
      </w:tr>
      <w:tr>
        <w:tblPrEx>
          <w:tblW w:w="5000" w:type="pct"/>
          <w:tblLayout w:type="fixed"/>
          <w:tblCellMar>
            <w:left w:w="108" w:type="dxa"/>
            <w:right w:w="108" w:type="dxa"/>
          </w:tblCellMar>
        </w:tblPrEx>
        <w:trPr>
          <w:trHeight w:val="2100"/>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12. Bieżąca praca z rodzicami osób uzależnionych od alkoholu w ramach terapii współuzależnienia.</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Centrum Przeciwdziałania Uzależnieniom,</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Miejska Komisja Rozwiązywania Problemów Alkoholowych</w:t>
            </w:r>
            <w:r>
              <w:rPr>
                <w:rFonts w:ascii="Arial" w:eastAsia="Arial" w:hAnsi="Arial" w:cs="Arial"/>
                <w:b w:val="0"/>
                <w:i w:val="0"/>
                <w:caps w:val="0"/>
                <w:strike w:val="0"/>
                <w:color w:val="000000"/>
                <w:sz w:val="22"/>
                <w:u w:val="none" w:color="000000"/>
                <w:vertAlign w:val="baseline"/>
              </w:rPr>
              <w:t> </w:t>
            </w:r>
          </w:p>
        </w:tc>
      </w:tr>
      <w:tr>
        <w:tblPrEx>
          <w:tblW w:w="5000" w:type="pct"/>
          <w:tblLayout w:type="fixed"/>
          <w:tblCellMar>
            <w:left w:w="108" w:type="dxa"/>
            <w:right w:w="108" w:type="dxa"/>
          </w:tblCellMar>
        </w:tblPrEx>
        <w:trPr>
          <w:trHeight w:val="1695"/>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13. Ścisła współpraca Policji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Straży Miejskiej z</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Urzędem Miejskim dot. ujawnionych przypadków nieprzestrzegania przepisów ustawy</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o wychowaniu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trzeźwości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przeciwdziałaniu alkoholizmowi.</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Referat Działalności Gospodarczej, Komenda Miejska Policji</w:t>
            </w:r>
          </w:p>
        </w:tc>
      </w:tr>
      <w:tr>
        <w:tblPrEx>
          <w:tblW w:w="5000" w:type="pct"/>
          <w:tblLayout w:type="fixed"/>
          <w:tblCellMar>
            <w:left w:w="108" w:type="dxa"/>
            <w:right w:w="108" w:type="dxa"/>
          </w:tblCellMar>
        </w:tblPrEx>
        <w:trPr>
          <w:trHeight w:val="1455"/>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14. Kierowanie na leczenie odwykowe osób uzależnionych.</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Miejska Komisja Rozwiązywania Problemów Alkoholowych </w:t>
            </w:r>
          </w:p>
        </w:tc>
      </w:tr>
      <w:tr>
        <w:tblPrEx>
          <w:tblW w:w="5000" w:type="pct"/>
          <w:tblLayout w:type="fixed"/>
          <w:tblCellMar>
            <w:left w:w="108" w:type="dxa"/>
            <w:right w:w="108" w:type="dxa"/>
          </w:tblCellMar>
        </w:tblPrEx>
        <w:trPr>
          <w:trHeight w:val="839"/>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15. Wspieranie programów niestacjonarnej terapii uzależnienia od alkoholu.</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Miejski Ośrodek Pomocy Rodzinie</w:t>
            </w:r>
          </w:p>
        </w:tc>
      </w:tr>
      <w:tr>
        <w:tblPrEx>
          <w:tblW w:w="5000" w:type="pct"/>
          <w:tblLayout w:type="fixed"/>
          <w:tblCellMar>
            <w:left w:w="108" w:type="dxa"/>
            <w:right w:w="108" w:type="dxa"/>
          </w:tblCellMar>
        </w:tblPrEx>
        <w:trPr>
          <w:trHeight w:val="2385"/>
        </w:trPr>
        <w:tc>
          <w:tcPr>
            <w:tcW w:w="915" w:type="dxa"/>
            <w:gridSpan w:val="2"/>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III.2</w:t>
            </w:r>
          </w:p>
        </w:tc>
        <w:tc>
          <w:tcPr>
            <w:tcW w:w="201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Przeciwdziałanie narkomanii.</w:t>
            </w: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 Prowadzenia intensywnych działań organów ścigania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zakresie ujawniania przestępstw związanych z</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zażywaniem narkotyków oraz na rzecz walki z</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dealerami narkotyków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dopalaczy.</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 Prowadzenie prze Policję pogadanek</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prelekcji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bytomskich szkołach dot. odpowiedzialności karnej za przestępstwa narkotykowe.</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Policji</w:t>
            </w:r>
          </w:p>
        </w:tc>
      </w:tr>
      <w:tr>
        <w:tblPrEx>
          <w:tblW w:w="5000" w:type="pct"/>
          <w:tblLayout w:type="fixed"/>
          <w:tblCellMar>
            <w:left w:w="108" w:type="dxa"/>
            <w:right w:w="108" w:type="dxa"/>
          </w:tblCellMar>
        </w:tblPrEx>
        <w:trPr>
          <w:trHeight w:val="840"/>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3. Podejmowanie działań motywujących</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interwencyjnych wobec osób uzależnionych od środków psychoaktywnych.</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4. Prowadzenie działalności informacyjnej na temat możliwości uzyskania pomocy psychologicznej, prawnej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socjalnej przez osoby uzależnione.</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5. Wspieranie kształcenia pedagogów szkolnych, nauczycieli, wychowawców, opiekunów, liderów młodzieżowych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dziedzinie profilaktyki uzależnień.</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Centrum Przeciwdziałania Uzależnieniom</w:t>
            </w:r>
          </w:p>
        </w:tc>
      </w:tr>
      <w:tr>
        <w:tblPrEx>
          <w:tblW w:w="5000" w:type="pct"/>
          <w:tblLayout w:type="fixed"/>
          <w:tblCellMar>
            <w:left w:w="108" w:type="dxa"/>
            <w:right w:w="108" w:type="dxa"/>
          </w:tblCellMar>
        </w:tblPrEx>
        <w:trPr>
          <w:trHeight w:val="885"/>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6. Prowadzenie kampanii społeczno-edukacyjnych nt. uzależnień skierowanych do mieszkańców miasta.</w:t>
            </w:r>
          </w:p>
          <w:p>
            <w:pPr>
              <w:jc w:val="left"/>
            </w:pPr>
            <w:r>
              <w:rPr>
                <w:sz w:val="22"/>
              </w:rPr>
              <w:t>7. Wspieranie programów profilaktycznych dot. terapii uzależnienia od narkotyków i dopingu.</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Centrum Przeciwdziałania Uzależnieniom,</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Wydział Edukacji</w:t>
            </w:r>
          </w:p>
        </w:tc>
      </w:tr>
      <w:tr>
        <w:tblPrEx>
          <w:tblW w:w="5000" w:type="pct"/>
          <w:tblLayout w:type="fixed"/>
          <w:tblCellMar>
            <w:left w:w="108" w:type="dxa"/>
            <w:right w:w="108" w:type="dxa"/>
          </w:tblCellMar>
        </w:tblPrEx>
        <w:trPr>
          <w:trHeight w:val="1527"/>
        </w:trPr>
        <w:tc>
          <w:tcPr>
            <w:tcW w:w="915" w:type="dxa"/>
            <w:gridSpan w:val="2"/>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III.3</w:t>
            </w:r>
          </w:p>
        </w:tc>
        <w:tc>
          <w:tcPr>
            <w:tcW w:w="201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 xml:space="preserve">Przeciwdziałanie przemocy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rodzinie.</w:t>
            </w: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 Bieżące monitorowanie środowisk zagrożonych występowaniem przemocy w rodzinie w ramach kolejnych edycji projektu partnerskiego „Prawo Ochronnym Parasolem Dziecka”.</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Miejski Ośrodek Pomocy Rodzinie,</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Komenda Miejska Policji,</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Straż Miejska,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Wydział Zarządzania Kryzysowego</w:t>
            </w:r>
          </w:p>
        </w:tc>
      </w:tr>
      <w:tr>
        <w:tblPrEx>
          <w:tblW w:w="5000" w:type="pct"/>
          <w:tblLayout w:type="fixed"/>
          <w:tblCellMar>
            <w:left w:w="108" w:type="dxa"/>
            <w:right w:w="108" w:type="dxa"/>
          </w:tblCellMar>
        </w:tblPrEx>
        <w:trPr>
          <w:trHeight w:val="1830"/>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2. Współuczestnictwo poszczególnych służb, podmiotów w pracach Zespołu Interdyscyplinarnego ds. Przeciwdziałania Przemocy w rodzinie w celu rozwiązywania bieżących problemów przemocy w rodzinie na terenie naszego miasta.</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Zespół Interdyscyplinarny</w:t>
            </w:r>
          </w:p>
        </w:tc>
      </w:tr>
      <w:tr>
        <w:tblPrEx>
          <w:tblW w:w="5000" w:type="pct"/>
          <w:tblLayout w:type="fixed"/>
          <w:tblCellMar>
            <w:left w:w="108" w:type="dxa"/>
            <w:right w:w="108" w:type="dxa"/>
          </w:tblCellMar>
        </w:tblPrEx>
        <w:trPr>
          <w:trHeight w:val="1423"/>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3. Prowadzenie działalności informacyjnej na temat możliwości uzyskania pomocy psychologicznej, prawnej, socjalnej przez osoby dotknięte przemocą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rodzinie.</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4. Inspirowanie działań profilaktycznych</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prowadzenie szkoleń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zakresie przemocy dla poszczególnych grup zawodowych zaangażowanych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rozwiązywanie problemów przemocy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rodzinie.</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Zespół Interdyscyplinarny Centrum Przeciwdziałania Uzależnieniom, Miejski Ośrodek Pomocy Rodzinie</w:t>
            </w:r>
          </w:p>
        </w:tc>
      </w:tr>
      <w:tr>
        <w:tblPrEx>
          <w:tblW w:w="5000" w:type="pct"/>
          <w:tblLayout w:type="fixed"/>
          <w:tblCellMar>
            <w:left w:w="108" w:type="dxa"/>
            <w:right w:w="108" w:type="dxa"/>
          </w:tblCellMar>
        </w:tblPrEx>
        <w:trPr>
          <w:trHeight w:val="1390"/>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5. Prowadzenie Hosteli dla ofiar przemocy oraz Ośrodka Interwencji Kryzysowej.</w:t>
            </w:r>
          </w:p>
          <w:p>
            <w:pPr>
              <w:jc w:val="left"/>
            </w:pPr>
            <w:r>
              <w:rPr>
                <w:sz w:val="22"/>
              </w:rPr>
              <w:t>6. Prowadzenie terapii ofiar przemocy    w rodzinie.</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Centrum Przeciwdziałania Uzależnieniom,</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Miejski Ośrodek Pomocy Rodzinie</w:t>
            </w:r>
          </w:p>
        </w:tc>
      </w:tr>
      <w:tr>
        <w:tblPrEx>
          <w:tblW w:w="5000" w:type="pct"/>
          <w:tblLayout w:type="fixed"/>
          <w:tblCellMar>
            <w:left w:w="108" w:type="dxa"/>
            <w:right w:w="108" w:type="dxa"/>
          </w:tblCellMar>
        </w:tblPrEx>
        <w:trPr>
          <w:trHeight w:val="1185"/>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7. Prowadzenie programu korekcyjno-edukacyjnego dla osób stosujących przemoc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rodzinie oraz grupy psychoedukacyjnej dla osób doświadczających przemocy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rodzinie.</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8</w:t>
            </w:r>
            <w:r>
              <w:rPr>
                <w:rFonts w:ascii="Arial" w:eastAsia="Arial" w:hAnsi="Arial" w:cs="Arial"/>
                <w:b w:val="0"/>
                <w:i w:val="0"/>
                <w:caps w:val="0"/>
                <w:strike w:val="0"/>
                <w:color w:val="000000"/>
                <w:sz w:val="24"/>
                <w:u w:val="none" w:color="000000"/>
                <w:vertAlign w:val="baseline"/>
              </w:rPr>
              <w:t xml:space="preserve">. </w:t>
            </w:r>
            <w:r>
              <w:rPr>
                <w:rFonts w:ascii="Arial" w:eastAsia="Arial" w:hAnsi="Arial" w:cs="Arial"/>
                <w:b w:val="0"/>
                <w:i w:val="0"/>
                <w:caps w:val="0"/>
                <w:strike w:val="0"/>
                <w:color w:val="000000"/>
                <w:sz w:val="22"/>
                <w:u w:val="none" w:color="000000"/>
                <w:vertAlign w:val="baseline"/>
              </w:rPr>
              <w:t>Prowadzenie bieżących prac interwencyjnych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 xml:space="preserve">terapeutycznych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z dziećmi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osobami dorosłymi doświadczającymi przemocy seksualnej.</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9. Umożliwienie darmowych porad prawnych osobom uwikłanym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przemoc/Punkty Konsultacyjne.</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Centrum Przeciwdziałania Uzależnieniom</w:t>
            </w:r>
          </w:p>
        </w:tc>
      </w:tr>
      <w:tr>
        <w:tblPrEx>
          <w:tblW w:w="5000" w:type="pct"/>
          <w:tblLayout w:type="fixed"/>
          <w:tblCellMar>
            <w:left w:w="108" w:type="dxa"/>
            <w:right w:w="108" w:type="dxa"/>
          </w:tblCellMar>
        </w:tblPrEx>
        <w:trPr>
          <w:trHeight w:val="1020"/>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10. Prowadzenie kampanii społeczno-edukacyjnych nt. przemocy w rodzinie skierowanych do mieszkańców miast.</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Wydział Polityki Społecznej,</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Zespół Interdyscyplinarny</w:t>
            </w:r>
          </w:p>
        </w:tc>
      </w:tr>
      <w:tr>
        <w:tblPrEx>
          <w:tblW w:w="5000" w:type="pct"/>
          <w:tblLayout w:type="fixed"/>
          <w:tblCellMar>
            <w:left w:w="108" w:type="dxa"/>
            <w:right w:w="108" w:type="dxa"/>
          </w:tblCellMar>
        </w:tblPrEx>
        <w:trPr>
          <w:trHeight w:val="1800"/>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01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4275"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11. Wspieranie programów profilaktycznych dot. przeciwdziałania przemocy.</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Wydział</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Polityki Społecznej,</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Miejski Ośrodek Pomocy Rodzinie, Centrum Przeciwdziałania Uzależnieniom,</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Zespół Interdyscy-</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plinarny</w:t>
            </w:r>
          </w:p>
        </w:tc>
      </w:tr>
      <w:tr>
        <w:tblPrEx>
          <w:tblW w:w="5000" w:type="pct"/>
          <w:tblLayout w:type="fixed"/>
          <w:tblCellMar>
            <w:left w:w="108" w:type="dxa"/>
            <w:right w:w="108" w:type="dxa"/>
          </w:tblCellMar>
        </w:tblPrEx>
        <w:trPr>
          <w:trHeight w:val="629"/>
        </w:trPr>
        <w:tc>
          <w:tcPr>
            <w:tcW w:w="10080" w:type="dxa"/>
            <w:gridSpan w:val="8"/>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Wskaźniki satysfakcji:</w:t>
            </w:r>
          </w:p>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utrzymanie dynamiki przestępstw, gdzie stosowana jest przemoc poniżej 100%</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kolejnych latach funkcjonowania programu;</w:t>
            </w:r>
          </w:p>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spadek liczby osób, które muszą poddać się terapii przeciwnarkotykowej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przeciwalkoholowej oraz osób kierowanych na terapię jako ofiary przemocy domowej;</w:t>
            </w:r>
          </w:p>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3)</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spadek liczby osób doprowadzonych do Izby Wytrzeźwień.</w:t>
            </w:r>
          </w:p>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Podmiot wiodący: Centrum Przeciwdziałania Uzależnieniom, Miejski Ośrodek Pomocy Rodzinie.</w:t>
            </w:r>
          </w:p>
        </w:tc>
      </w:tr>
      <w:tr>
        <w:tblPrEx>
          <w:tblW w:w="5000" w:type="pct"/>
          <w:tblLayout w:type="fixed"/>
          <w:tblCellMar>
            <w:left w:w="108" w:type="dxa"/>
            <w:right w:w="108" w:type="dxa"/>
          </w:tblCellMar>
        </w:tblPrEx>
        <w:trPr>
          <w:trHeight w:val="629"/>
        </w:trPr>
        <w:tc>
          <w:tcPr>
            <w:tcW w:w="10080" w:type="dxa"/>
            <w:gridSpan w:val="8"/>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Obszar działania:</w:t>
            </w:r>
          </w:p>
          <w:p>
            <w:pPr>
              <w:jc w:val="left"/>
            </w:pPr>
            <w:r>
              <w:rPr>
                <w:sz w:val="22"/>
              </w:rPr>
              <w:t>IV. Dążenie do poprawy porządku i czystości w mieście.</w:t>
            </w:r>
          </w:p>
        </w:tc>
      </w:tr>
      <w:tr>
        <w:tblPrEx>
          <w:tblW w:w="5000" w:type="pct"/>
          <w:tblLayout w:type="fixed"/>
          <w:tblCellMar>
            <w:left w:w="108" w:type="dxa"/>
            <w:right w:w="108" w:type="dxa"/>
          </w:tblCellMar>
        </w:tblPrEx>
        <w:trPr>
          <w:trHeight w:val="629"/>
        </w:trPr>
        <w:tc>
          <w:tcPr>
            <w:tcW w:w="915" w:type="dxa"/>
            <w:gridSpan w:val="2"/>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IV.1</w:t>
            </w:r>
          </w:p>
        </w:tc>
        <w:tc>
          <w:tcPr>
            <w:tcW w:w="2880"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Wyeliminowanie spożywania alkoholu w miejscach publicznych.</w:t>
            </w: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Zdecydowana reakcja służb porządkowych wobec osób spożywających alkohol</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miejscach zabronionych.</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Policji</w:t>
            </w:r>
          </w:p>
        </w:tc>
      </w:tr>
      <w:tr>
        <w:tblPrEx>
          <w:tblW w:w="5000" w:type="pct"/>
          <w:tblLayout w:type="fixed"/>
          <w:tblCellMar>
            <w:left w:w="108" w:type="dxa"/>
            <w:right w:w="108" w:type="dxa"/>
          </w:tblCellMar>
        </w:tblPrEx>
        <w:trPr>
          <w:trHeight w:val="629"/>
        </w:trPr>
        <w:tc>
          <w:tcPr>
            <w:tcW w:w="915" w:type="dxa"/>
            <w:gridSpan w:val="2"/>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IV.2</w:t>
            </w:r>
          </w:p>
        </w:tc>
        <w:tc>
          <w:tcPr>
            <w:tcW w:w="2880" w:type="dxa"/>
            <w:gridSpan w:val="4"/>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Wyeliminowanie palenia papierosów w miejscach zabronionych i zaśmiecania tych miejsc.</w:t>
            </w: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Zdecydowana reakcja służb porządkowych wobec osób zaśmiecających miejsca publiczne i palących papierosy w miejscach zabronionych oraz na umieszczanie graffiti, ogłoszeń i plakatów reklamowych w miejscach niedozwolonych.</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Straż Miejska</w:t>
            </w:r>
          </w:p>
        </w:tc>
      </w:tr>
      <w:tr>
        <w:tblPrEx>
          <w:tblW w:w="5000" w:type="pct"/>
          <w:tblLayout w:type="fixed"/>
          <w:tblCellMar>
            <w:left w:w="108" w:type="dxa"/>
            <w:right w:w="108" w:type="dxa"/>
          </w:tblCellMar>
        </w:tblPrEx>
        <w:trPr>
          <w:trHeight w:val="1543"/>
        </w:trPr>
        <w:tc>
          <w:tcPr>
            <w:tcW w:w="915" w:type="dxa"/>
            <w:gridSpan w:val="2"/>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IV.3</w:t>
            </w:r>
          </w:p>
        </w:tc>
        <w:tc>
          <w:tcPr>
            <w:tcW w:w="2880" w:type="dxa"/>
            <w:gridSpan w:val="4"/>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Przeciwdziałanie tworzeniu „dzikich wysypisk śmieci” na terenie miasta.</w:t>
            </w: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 Zdecydowana reakcja służb porządkowych wobec osób pozostawiających odpady</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miejscach do tego nieprzeznaczonych.</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Straż Miejska, Wydział Inżynierii Środowiska</w:t>
            </w:r>
          </w:p>
        </w:tc>
      </w:tr>
      <w:tr>
        <w:tblPrEx>
          <w:tblW w:w="5000" w:type="pct"/>
          <w:tblLayout w:type="fixed"/>
          <w:tblCellMar>
            <w:left w:w="108" w:type="dxa"/>
            <w:right w:w="108" w:type="dxa"/>
          </w:tblCellMar>
        </w:tblPrEx>
        <w:trPr>
          <w:trHeight w:val="960"/>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p>
        </w:tc>
        <w:tc>
          <w:tcPr>
            <w:tcW w:w="2880" w:type="dxa"/>
            <w:gridSpan w:val="4"/>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2. Monitorowanie gospodarki odpadami na terenie miasta przy wykorzystaniu urządzeń monitoringu wizyjnego miasta.</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Straż Miejska</w:t>
            </w:r>
          </w:p>
        </w:tc>
      </w:tr>
      <w:tr>
        <w:tblPrEx>
          <w:tblW w:w="5000" w:type="pct"/>
          <w:tblLayout w:type="fixed"/>
          <w:tblCellMar>
            <w:left w:w="108" w:type="dxa"/>
            <w:right w:w="108" w:type="dxa"/>
          </w:tblCellMar>
        </w:tblPrEx>
        <w:trPr>
          <w:trHeight w:val="1021"/>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p>
        </w:tc>
        <w:tc>
          <w:tcPr>
            <w:tcW w:w="2880" w:type="dxa"/>
            <w:gridSpan w:val="4"/>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3. Opiniowanie wydawanych decyzji o składowaniu odpadów przez różne podmioty na terenie miasta.</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Zespół ds. Odpadów</w:t>
            </w:r>
          </w:p>
        </w:tc>
      </w:tr>
      <w:tr>
        <w:tblPrEx>
          <w:tblW w:w="5000" w:type="pct"/>
          <w:tblLayout w:type="fixed"/>
          <w:tblCellMar>
            <w:left w:w="108" w:type="dxa"/>
            <w:right w:w="108" w:type="dxa"/>
          </w:tblCellMar>
        </w:tblPrEx>
        <w:trPr>
          <w:trHeight w:val="870"/>
        </w:trPr>
        <w:tc>
          <w:tcPr>
            <w:tcW w:w="915" w:type="dxa"/>
            <w:gridSpan w:val="2"/>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20"/>
              <w:jc w:val="both"/>
              <w:rPr>
                <w:rFonts w:ascii="Arial" w:eastAsia="Arial" w:hAnsi="Arial" w:cs="Arial"/>
                <w:b w:val="0"/>
                <w:i w:val="0"/>
                <w:caps w:val="0"/>
                <w:strike w:val="0"/>
                <w:color w:val="000000"/>
                <w:sz w:val="24"/>
                <w:u w:val="none" w:color="000000"/>
                <w:vertAlign w:val="baseline"/>
              </w:rPr>
            </w:pPr>
            <w:r>
              <w:rPr>
                <w:sz w:val="22"/>
              </w:rPr>
              <w:t>IV.4</w:t>
            </w:r>
          </w:p>
        </w:tc>
        <w:tc>
          <w:tcPr>
            <w:tcW w:w="2880" w:type="dxa"/>
            <w:gridSpan w:val="4"/>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Eliminowanie niewłaściwego parkowania pojazdu na terenie miasta oraz zakazu ruchu w ścisłym centrum miasta.</w:t>
            </w: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1. Zdecydowana reakcja służb porządkowych wobec kierujących pojazdami, którzy nie stosują się do przepisów ruchu drogowego.</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Straż Miejska,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Komenda Miejska Policji</w:t>
            </w:r>
          </w:p>
        </w:tc>
      </w:tr>
      <w:tr>
        <w:tblPrEx>
          <w:tblW w:w="5000" w:type="pct"/>
          <w:tblLayout w:type="fixed"/>
          <w:tblCellMar>
            <w:left w:w="108" w:type="dxa"/>
            <w:right w:w="108" w:type="dxa"/>
          </w:tblCellMar>
        </w:tblPrEx>
        <w:trPr>
          <w:trHeight w:val="915"/>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880" w:type="dxa"/>
            <w:gridSpan w:val="4"/>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2. Propagowanie zachowań mających na celu eliminowanie parkowania pojazdów w miejscach niedozwolonych zagrażających bezpieczeństwu ruchu drogowego.</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Straż Miejska,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Komenda Miejska Policji</w:t>
            </w:r>
          </w:p>
        </w:tc>
      </w:tr>
      <w:tr>
        <w:tblPrEx>
          <w:tblW w:w="5000" w:type="pct"/>
          <w:tblLayout w:type="fixed"/>
          <w:tblCellMar>
            <w:left w:w="108" w:type="dxa"/>
            <w:right w:w="108" w:type="dxa"/>
          </w:tblCellMar>
        </w:tblPrEx>
        <w:trPr>
          <w:trHeight w:val="1148"/>
        </w:trPr>
        <w:tc>
          <w:tcPr>
            <w:tcW w:w="915" w:type="dxa"/>
            <w:gridSpan w:val="2"/>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IV.5</w:t>
            </w:r>
          </w:p>
        </w:tc>
        <w:tc>
          <w:tcPr>
            <w:tcW w:w="2880" w:type="dxa"/>
            <w:gridSpan w:val="4"/>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Przeciwdziałanie aktom wandalizmu przeciwko urządzeniom przeznaczonym</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do użytku publicznym.</w:t>
            </w: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 xml:space="preserve">1. Zdecydowana reakcja służb porządkowych na akty dewastacji, wandalizmu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chuligaństwa na terenie miasta.</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Straż Miejska,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Komenda Miejska Policji</w:t>
            </w:r>
          </w:p>
        </w:tc>
      </w:tr>
      <w:tr>
        <w:tblPrEx>
          <w:tblW w:w="5000" w:type="pct"/>
          <w:tblLayout w:type="fixed"/>
          <w:tblCellMar>
            <w:left w:w="108" w:type="dxa"/>
            <w:right w:w="108" w:type="dxa"/>
          </w:tblCellMar>
        </w:tblPrEx>
        <w:trPr>
          <w:trHeight w:val="1147"/>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880" w:type="dxa"/>
            <w:gridSpan w:val="4"/>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2. Promowanie rozwiązań na rzecz budowania przestrzeni publicznej przyjaznej mieszkańcom miasta.</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 xml:space="preserve">Wydział Komunikacji Medialnej i Promocji </w:t>
            </w:r>
          </w:p>
        </w:tc>
      </w:tr>
      <w:tr>
        <w:tblPrEx>
          <w:tblW w:w="5000" w:type="pct"/>
          <w:tblLayout w:type="fixed"/>
          <w:tblCellMar>
            <w:left w:w="108" w:type="dxa"/>
            <w:right w:w="108" w:type="dxa"/>
          </w:tblCellMar>
        </w:tblPrEx>
        <w:trPr>
          <w:trHeight w:val="723"/>
        </w:trPr>
        <w:tc>
          <w:tcPr>
            <w:tcW w:w="10080" w:type="dxa"/>
            <w:gridSpan w:val="8"/>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Wskaźniki satysfakcji:</w:t>
            </w:r>
          </w:p>
          <w:p>
            <w:pPr>
              <w:jc w:val="both"/>
            </w:pPr>
            <w:r>
              <w:rPr>
                <w:sz w:val="22"/>
              </w:rPr>
              <w:t>1) ilość nałożonych sankcji karnych za wykroczenia tzw. „porządkowe” w kolejnych latach realizacji programu;</w:t>
            </w:r>
          </w:p>
          <w:p>
            <w:pPr>
              <w:jc w:val="both"/>
            </w:pPr>
            <w:r>
              <w:rPr>
                <w:sz w:val="22"/>
              </w:rPr>
              <w:t>2) ilość nałożonych sankcji karnych za niewłaściwe parkowanie oraz łamanie zakazu ruchu w obu kierunkach w kolejnych latach realizacji programu.</w:t>
            </w:r>
          </w:p>
          <w:p>
            <w:pPr>
              <w:jc w:val="both"/>
            </w:pPr>
            <w:r>
              <w:rPr>
                <w:sz w:val="22"/>
              </w:rPr>
              <w:t>Podmiot wiodący: Straż Miejska.</w:t>
            </w:r>
          </w:p>
        </w:tc>
      </w:tr>
      <w:tr>
        <w:tblPrEx>
          <w:tblW w:w="5000" w:type="pct"/>
          <w:tblLayout w:type="fixed"/>
          <w:tblCellMar>
            <w:left w:w="108" w:type="dxa"/>
            <w:right w:w="108" w:type="dxa"/>
          </w:tblCellMar>
        </w:tblPrEx>
        <w:trPr>
          <w:trHeight w:val="715"/>
        </w:trPr>
        <w:tc>
          <w:tcPr>
            <w:tcW w:w="10080" w:type="dxa"/>
            <w:gridSpan w:val="8"/>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Obszar działania:</w:t>
            </w:r>
          </w:p>
          <w:p>
            <w:pPr>
              <w:jc w:val="both"/>
            </w:pPr>
            <w:r>
              <w:rPr>
                <w:sz w:val="22"/>
              </w:rPr>
              <w:t>V. Dążenie do dalszej poprawy bezpieczeństwa ruchu drogowego.</w:t>
            </w:r>
          </w:p>
        </w:tc>
      </w:tr>
      <w:tr>
        <w:tblPrEx>
          <w:tblW w:w="5000" w:type="pct"/>
          <w:tblLayout w:type="fixed"/>
          <w:tblCellMar>
            <w:left w:w="108" w:type="dxa"/>
            <w:right w:w="108" w:type="dxa"/>
          </w:tblCellMar>
        </w:tblPrEx>
        <w:trPr>
          <w:trHeight w:val="2430"/>
        </w:trPr>
        <w:tc>
          <w:tcPr>
            <w:tcW w:w="915" w:type="dxa"/>
            <w:gridSpan w:val="2"/>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V.1</w:t>
            </w:r>
          </w:p>
        </w:tc>
        <w:tc>
          <w:tcPr>
            <w:tcW w:w="2880" w:type="dxa"/>
            <w:gridSpan w:val="4"/>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Ograniczenie zdarzeń drogowych na terenie miasta Bytomia.</w:t>
            </w: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 Systematyczne dokonywanie kontroli prędkości pojazdów poruszających się po ulicach naszego miasta.</w:t>
            </w:r>
          </w:p>
          <w:p>
            <w:pPr>
              <w:jc w:val="left"/>
            </w:pPr>
            <w:r>
              <w:rPr>
                <w:sz w:val="22"/>
              </w:rPr>
              <w:t>2. Prowadzenie intensywnych działań w zakresie ujawnienia i eliminowania z ruchu kierujących pojazdami w stanie nietrzeźwości, po użyciu alkoholu lub innych środków odurzających.</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Policji</w:t>
            </w:r>
          </w:p>
        </w:tc>
      </w:tr>
      <w:tr>
        <w:tblPrEx>
          <w:tblW w:w="5000" w:type="pct"/>
          <w:tblLayout w:type="fixed"/>
          <w:tblCellMar>
            <w:left w:w="108" w:type="dxa"/>
            <w:right w:w="108" w:type="dxa"/>
          </w:tblCellMar>
        </w:tblPrEx>
        <w:trPr>
          <w:trHeight w:val="737"/>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880" w:type="dxa"/>
            <w:gridSpan w:val="4"/>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3. Bieżące weryfikowanie i ocenianie celowości ustawienia znaków drogowych poprzez bieżące opiniowanie nowych projektów i zmiany organizacji ruchu na terenie miasta.</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Wydział Komunalny,</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Miejski Zarząd Dróg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Mostów</w:t>
            </w:r>
          </w:p>
        </w:tc>
      </w:tr>
      <w:tr>
        <w:tblPrEx>
          <w:tblW w:w="5000" w:type="pct"/>
          <w:tblLayout w:type="fixed"/>
          <w:tblCellMar>
            <w:left w:w="108" w:type="dxa"/>
            <w:right w:w="108" w:type="dxa"/>
          </w:tblCellMar>
        </w:tblPrEx>
        <w:trPr>
          <w:trHeight w:val="465"/>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880" w:type="dxa"/>
            <w:gridSpan w:val="4"/>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4. Dążenie do wprowadzania kolejnych odcinków tras przelotowych o skoordynowanej sygnalizacji świetlnej.</w:t>
            </w:r>
          </w:p>
          <w:p>
            <w:pPr>
              <w:jc w:val="left"/>
            </w:pPr>
            <w:r>
              <w:rPr>
                <w:sz w:val="22"/>
              </w:rPr>
              <w:t>5. Wprowadzanie rozwiązań technicznych na rzecz uspokojenia ruchu w miejscach uznanych za niebezpieczne.</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Wydział Komunalny</w:t>
            </w:r>
          </w:p>
        </w:tc>
      </w:tr>
      <w:tr>
        <w:tblPrEx>
          <w:tblW w:w="5000" w:type="pct"/>
          <w:tblLayout w:type="fixed"/>
          <w:tblCellMar>
            <w:left w:w="108" w:type="dxa"/>
            <w:right w:w="108" w:type="dxa"/>
          </w:tblCellMar>
        </w:tblPrEx>
        <w:trPr>
          <w:trHeight w:val="825"/>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880" w:type="dxa"/>
            <w:gridSpan w:val="4"/>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6. Podnoszenie standardów oznakowania dróg poprzez wprowadzenie oznakowania poziomego z</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mas termoplastycznych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pionowego</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z wykorzystaniem znaków odblaskowych poprawiających ich widoczność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porze wieczorno-nocnej.</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7. Prowadzenie na bieżąco konserwacji znaków drogowych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barier chodnikowych.</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Miejski Zarząd Dróg i Mostów</w:t>
            </w:r>
          </w:p>
        </w:tc>
      </w:tr>
      <w:tr>
        <w:tblPrEx>
          <w:tblW w:w="5000" w:type="pct"/>
          <w:tblLayout w:type="fixed"/>
          <w:tblCellMar>
            <w:left w:w="108" w:type="dxa"/>
            <w:right w:w="108" w:type="dxa"/>
          </w:tblCellMar>
        </w:tblPrEx>
        <w:trPr>
          <w:trHeight w:val="2760"/>
        </w:trPr>
        <w:tc>
          <w:tcPr>
            <w:tcW w:w="915" w:type="dxa"/>
            <w:gridSpan w:val="2"/>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20"/>
              <w:jc w:val="both"/>
              <w:rPr>
                <w:rFonts w:ascii="Arial" w:eastAsia="Arial" w:hAnsi="Arial" w:cs="Arial"/>
                <w:b w:val="0"/>
                <w:i w:val="0"/>
                <w:caps w:val="0"/>
                <w:strike w:val="0"/>
                <w:color w:val="000000"/>
                <w:sz w:val="24"/>
                <w:u w:val="none" w:color="000000"/>
                <w:vertAlign w:val="baseline"/>
              </w:rPr>
            </w:pPr>
            <w:r>
              <w:rPr>
                <w:sz w:val="22"/>
              </w:rPr>
              <w:t>V.2</w:t>
            </w:r>
          </w:p>
        </w:tc>
        <w:tc>
          <w:tcPr>
            <w:tcW w:w="2880" w:type="dxa"/>
            <w:gridSpan w:val="4"/>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Poprawa bezpieczeństwa niechronionych uczestników ruchu drogowego.</w:t>
            </w: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 Bieżące wyznaczanie przejść dla pieszych,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 xml:space="preserve">tym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 xml:space="preserve">z sygnalizacją świetlną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miejscach szczególnie zagrożonych.</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 Prowadzenie akcji doświetlania przejść dla pieszych na terenie całego miasta.</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 xml:space="preserve">3. Podejmowanie działań na rzecz systematycznego oddzielenia ruchu pieszego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rowerowego od ruchu pojazdów silnikowych.</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Miejski Zarząd Dróg</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Mostów</w:t>
            </w:r>
          </w:p>
        </w:tc>
      </w:tr>
      <w:tr>
        <w:tblPrEx>
          <w:tblW w:w="5000" w:type="pct"/>
          <w:tblLayout w:type="fixed"/>
          <w:tblCellMar>
            <w:left w:w="108" w:type="dxa"/>
            <w:right w:w="108" w:type="dxa"/>
          </w:tblCellMar>
        </w:tblPrEx>
        <w:trPr>
          <w:trHeight w:val="1185"/>
        </w:trPr>
        <w:tc>
          <w:tcPr>
            <w:tcW w:w="915" w:type="dxa"/>
            <w:gridSpan w:val="2"/>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2880" w:type="dxa"/>
            <w:gridSpan w:val="4"/>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4. Kontynuacja prowadzonych akcji i programów profilaktycznych dot. bezpieczeństwa niechronionych uczestników ruchu drogowego.</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Policji</w:t>
            </w:r>
          </w:p>
        </w:tc>
      </w:tr>
      <w:tr>
        <w:tblPrEx>
          <w:tblW w:w="5000" w:type="pct"/>
          <w:tblLayout w:type="fixed"/>
          <w:tblCellMar>
            <w:left w:w="108" w:type="dxa"/>
            <w:right w:w="108" w:type="dxa"/>
          </w:tblCellMar>
        </w:tblPrEx>
        <w:trPr>
          <w:trHeight w:val="629"/>
        </w:trPr>
        <w:tc>
          <w:tcPr>
            <w:tcW w:w="10080" w:type="dxa"/>
            <w:gridSpan w:val="8"/>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Wskaźniki satysfakcji:</w:t>
            </w:r>
          </w:p>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dążenie do obniżenia dynamiki ilości wypadków drogowych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kolejnych latach realizacji programu;</w:t>
            </w:r>
          </w:p>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dążenie do obniżenia dynamiki wypadków,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których ofiarami są niechronieni użytkownicy dróg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kolejnych latach realizacji programu;</w:t>
            </w:r>
          </w:p>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3)</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dążenie do obniżenia dynamiki wypadków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kolizji drogowych, których sprawcami są osoby po użyciu alkoholu lub innych środków odurzających;</w:t>
            </w:r>
          </w:p>
          <w:p w:rsidR="00A77B3E">
            <w:pPr>
              <w:spacing w:before="120" w:after="100"/>
              <w:jc w:val="both"/>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4)</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dążenie do obniżenia dynamiki ofiar śmiertelnych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wypadkach drogowych.</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Podmiot wiodący: Miejski Zarząd Dróg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Mostów.</w:t>
            </w:r>
            <w:r>
              <w:rPr>
                <w:rFonts w:ascii="Arial" w:eastAsia="Arial" w:hAnsi="Arial" w:cs="Arial"/>
                <w:b w:val="0"/>
                <w:i w:val="0"/>
                <w:caps w:val="0"/>
                <w:strike w:val="0"/>
                <w:color w:val="000000"/>
                <w:sz w:val="22"/>
                <w:u w:val="none" w:color="000000"/>
                <w:vertAlign w:val="baseline"/>
              </w:rPr>
              <w:br/>
            </w:r>
          </w:p>
        </w:tc>
      </w:tr>
      <w:tr>
        <w:tblPrEx>
          <w:tblW w:w="5000" w:type="pct"/>
          <w:tblLayout w:type="fixed"/>
          <w:tblCellMar>
            <w:left w:w="108" w:type="dxa"/>
            <w:right w:w="108" w:type="dxa"/>
          </w:tblCellMar>
        </w:tblPrEx>
        <w:trPr>
          <w:trHeight w:val="685"/>
        </w:trPr>
        <w:tc>
          <w:tcPr>
            <w:tcW w:w="10080" w:type="dxa"/>
            <w:gridSpan w:val="8"/>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Obszar działania:</w:t>
            </w:r>
          </w:p>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VI. Prowadzenie działań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zakresie podnoszenia świadomości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zakresie ochrony przeciwpożarowej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zasad właściwego zachowania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sytuacjach zagrażających bezpieczeństwu,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tym przygotowań na wypadek zaistnienia sytuacji kryzysowej.</w:t>
            </w:r>
            <w:r>
              <w:rPr>
                <w:rFonts w:ascii="Arial" w:eastAsia="Arial" w:hAnsi="Arial" w:cs="Arial"/>
                <w:b w:val="0"/>
                <w:i w:val="0"/>
                <w:caps w:val="0"/>
                <w:strike w:val="0"/>
                <w:color w:val="000000"/>
                <w:sz w:val="22"/>
                <w:u w:val="none" w:color="000000"/>
                <w:vertAlign w:val="baseline"/>
              </w:rPr>
              <w:br/>
            </w:r>
          </w:p>
        </w:tc>
      </w:tr>
      <w:tr>
        <w:tblPrEx>
          <w:tblW w:w="5000" w:type="pct"/>
          <w:tblLayout w:type="fixed"/>
          <w:tblCellMar>
            <w:left w:w="108" w:type="dxa"/>
            <w:right w:w="108" w:type="dxa"/>
          </w:tblCellMar>
        </w:tblPrEx>
        <w:trPr>
          <w:trHeight w:val="1260"/>
        </w:trPr>
        <w:tc>
          <w:tcPr>
            <w:tcW w:w="69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VI.1</w:t>
            </w:r>
          </w:p>
        </w:tc>
        <w:tc>
          <w:tcPr>
            <w:tcW w:w="3105" w:type="dxa"/>
            <w:gridSpan w:val="5"/>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Ograniczenie ilości powstawania pożarów na terenie miasta.</w:t>
            </w: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 Prowadzenie akcji informacyjnej skierowanej do właścicieli i zarządców budynków mieszkalnych w zakresie właściwego zachowania eliminującego zagrożenia powstawania pożarów.</w:t>
            </w:r>
          </w:p>
          <w:p>
            <w:pPr>
              <w:jc w:val="left"/>
            </w:pPr>
            <w:r>
              <w:rPr>
                <w:sz w:val="22"/>
              </w:rPr>
              <w:t>2. Prowadzenie na bieżąco działań sprawdzająco-kontrolnych dot. przestrzegania przepisów ppoż. na terenie miasta.</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Straży Pożarnej</w:t>
            </w:r>
          </w:p>
        </w:tc>
      </w:tr>
      <w:tr>
        <w:tblPrEx>
          <w:tblW w:w="5000" w:type="pct"/>
          <w:tblLayout w:type="fixed"/>
          <w:tblCellMar>
            <w:left w:w="108" w:type="dxa"/>
            <w:right w:w="108" w:type="dxa"/>
          </w:tblCellMar>
        </w:tblPrEx>
        <w:trPr>
          <w:trHeight w:val="615"/>
        </w:trPr>
        <w:tc>
          <w:tcPr>
            <w:tcW w:w="69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105" w:type="dxa"/>
            <w:gridSpan w:val="5"/>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3. Prowadzenie na bieżąco działań profilaktycznych na terenie miasta w zakresie poprawy bezpieczeństwa i ochrony przeciwpożarowej.</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Komenda Miejska Straży Pożarnej,</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Wydział Zarządzania Kryzysowego</w:t>
            </w:r>
          </w:p>
        </w:tc>
      </w:tr>
      <w:tr>
        <w:tblPrEx>
          <w:tblW w:w="5000" w:type="pct"/>
          <w:tblLayout w:type="fixed"/>
          <w:tblCellMar>
            <w:left w:w="108" w:type="dxa"/>
            <w:right w:w="108" w:type="dxa"/>
          </w:tblCellMar>
        </w:tblPrEx>
        <w:trPr>
          <w:trHeight w:val="2190"/>
        </w:trPr>
        <w:tc>
          <w:tcPr>
            <w:tcW w:w="69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105" w:type="dxa"/>
            <w:gridSpan w:val="5"/>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 xml:space="preserve">4. Coroczne występowanie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do właścicieli, zarządców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 xml:space="preserve">administratorów infrastruktury budowlanej na terenie miasta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o podjęcie działań sprawdzająco-kontrolnych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swoich zasobach celem ujawnienia usterek urządzeń grzewczo-kominowych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ich eliminowanie przed rozpoczęciem sezonu grzewczego.</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 xml:space="preserve">Wydział Zarządzania Kryzysowego </w:t>
            </w:r>
          </w:p>
        </w:tc>
      </w:tr>
      <w:tr>
        <w:tblPrEx>
          <w:tblW w:w="5000" w:type="pct"/>
          <w:tblLayout w:type="fixed"/>
          <w:tblCellMar>
            <w:left w:w="108" w:type="dxa"/>
            <w:right w:w="108" w:type="dxa"/>
          </w:tblCellMar>
        </w:tblPrEx>
        <w:trPr>
          <w:trHeight w:val="2130"/>
        </w:trPr>
        <w:tc>
          <w:tcPr>
            <w:tcW w:w="690" w:type="dxa"/>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both"/>
              <w:rPr>
                <w:rFonts w:ascii="Arial" w:eastAsia="Arial" w:hAnsi="Arial" w:cs="Arial"/>
                <w:b w:val="0"/>
                <w:i w:val="0"/>
                <w:caps w:val="0"/>
                <w:strike w:val="0"/>
                <w:color w:val="000000"/>
                <w:sz w:val="24"/>
                <w:u w:val="none" w:color="000000"/>
                <w:vertAlign w:val="baseline"/>
              </w:rPr>
            </w:pPr>
            <w:r>
              <w:rPr>
                <w:sz w:val="22"/>
              </w:rPr>
              <w:t>VI.2</w:t>
            </w:r>
          </w:p>
        </w:tc>
        <w:tc>
          <w:tcPr>
            <w:tcW w:w="3105" w:type="dxa"/>
            <w:gridSpan w:val="5"/>
            <w:vMerge w:val="restart"/>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Ograniczenie liczby zdarzeń związanych z zatruciem tlenkiem węgla.</w:t>
            </w: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1. Coroczne prowadzenie przed sezonem grzewczym akcji informacyjnej dot. szkodliwości tlenku węgla na organizm ludzki i właściwym użytkowaniu urządzeń grzewczo-kominowych.</w:t>
            </w:r>
          </w:p>
          <w:p>
            <w:pPr>
              <w:jc w:val="left"/>
            </w:pPr>
            <w:r>
              <w:rPr>
                <w:sz w:val="22"/>
              </w:rPr>
              <w:t>2. W ramach kampanii „Nie dla czadu” przekazywanie na bieżąco informacji do lokalnej prasy.</w:t>
            </w:r>
          </w:p>
          <w:p>
            <w:pPr>
              <w:jc w:val="left"/>
            </w:pPr>
            <w:r>
              <w:rPr>
                <w:sz w:val="22"/>
              </w:rPr>
              <w:t>3. Zamieszczenie na stronach internetowych Komendy Miejskiej Państwowej Straży Pożarnej, Urzędu Miejskiego i Komendy Miejskiej Policji informacji na temat zagrożeń i przeciwdziałania zatruciem tlenkiem węgla.</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Komenda Miejska Straży Pożarnej</w:t>
            </w:r>
          </w:p>
        </w:tc>
      </w:tr>
      <w:tr>
        <w:tblPrEx>
          <w:tblW w:w="5000" w:type="pct"/>
          <w:tblLayout w:type="fixed"/>
          <w:tblCellMar>
            <w:left w:w="108" w:type="dxa"/>
            <w:right w:w="108" w:type="dxa"/>
          </w:tblCellMar>
        </w:tblPrEx>
        <w:trPr>
          <w:trHeight w:val="1305"/>
        </w:trPr>
        <w:tc>
          <w:tcPr>
            <w:tcW w:w="690" w:type="dxa"/>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105" w:type="dxa"/>
            <w:gridSpan w:val="5"/>
            <w:vMerge/>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4. Wspieranie programów profilaktycznych dot. przeciwdziałania powstawania pożarów i innych zagrożeń bezpieczeństwa.</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Wydział Zarządzania Kryzysowego</w:t>
            </w:r>
          </w:p>
        </w:tc>
      </w:tr>
      <w:tr>
        <w:tblPrEx>
          <w:tblW w:w="5000" w:type="pct"/>
          <w:tblLayout w:type="fixed"/>
          <w:tblCellMar>
            <w:left w:w="108" w:type="dxa"/>
            <w:right w:w="108" w:type="dxa"/>
          </w:tblCellMar>
        </w:tblPrEx>
        <w:trPr>
          <w:trHeight w:val="1480"/>
        </w:trPr>
        <w:tc>
          <w:tcPr>
            <w:tcW w:w="69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sz w:val="22"/>
              </w:rPr>
              <w:t>VI.3</w:t>
            </w:r>
          </w:p>
        </w:tc>
        <w:tc>
          <w:tcPr>
            <w:tcW w:w="3105" w:type="dxa"/>
            <w:gridSpan w:val="5"/>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0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Edukacja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informowanie mieszkańców o</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zasadach właściwego zachowania</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w sytuacjach zagrożenia bezpieczeństwa,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tym na wypadek zaistnienia sytuacji kryzysowej.</w:t>
            </w:r>
          </w:p>
        </w:tc>
        <w:tc>
          <w:tcPr>
            <w:tcW w:w="3405"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1. Prowadzenie szkoleń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ramach powszechnej samoobrony ludności dot. stosownych zachowań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sytuacjach różnego rodzaju zagrożeń z</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uwzględnieniem umiejętności udzielenia pomocy przedmedycznej.</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2. Bieżące doskonalenie Systemu Wczesnego Ostrzegania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Wykrywania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Alarmowania ludności na terenie miasta.</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3. Bieżące wdrażanie procedur postępowania zawartych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„Planie Zarządzania Kryzysowego”</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i „Planie Obrony Cywilnej”.</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4. Systematyczne doposażenie właściwych służb, inspekcji, straży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innych jednostek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 xml:space="preserve">niezbędny sprzęt </w:t>
            </w:r>
            <w:r>
              <w:rPr>
                <w:rFonts w:ascii="Arial" w:eastAsia="Arial" w:hAnsi="Arial" w:cs="Arial"/>
                <w:b w:val="0"/>
                <w:i w:val="0"/>
                <w:caps w:val="0"/>
                <w:strike w:val="0"/>
                <w:color w:val="000000"/>
                <w:sz w:val="22"/>
                <w:u w:val="none" w:color="000000"/>
                <w:vertAlign w:val="baseline"/>
              </w:rPr>
              <w:br/>
            </w:r>
            <w:r>
              <w:rPr>
                <w:rFonts w:ascii="Arial" w:eastAsia="Arial" w:hAnsi="Arial" w:cs="Arial"/>
                <w:b w:val="0"/>
                <w:i w:val="0"/>
                <w:caps w:val="0"/>
                <w:strike w:val="0"/>
                <w:color w:val="000000"/>
                <w:sz w:val="22"/>
                <w:u w:val="none" w:color="000000"/>
                <w:vertAlign w:val="baseline"/>
              </w:rPr>
              <w:t>do prowadzenia działań ratowniczych na terenie miasta.</w:t>
            </w:r>
          </w:p>
          <w:p w:rsidR="00A77B3E">
            <w:pPr>
              <w:spacing w:before="120" w:after="120"/>
              <w:jc w:val="left"/>
              <w:rPr>
                <w:rFonts w:ascii="Arial" w:eastAsia="Arial" w:hAnsi="Arial" w:cs="Arial"/>
                <w:b w:val="0"/>
                <w:i w:val="0"/>
                <w:caps w:val="0"/>
                <w:strike w:val="0"/>
                <w:color w:val="000000"/>
                <w:sz w:val="24"/>
                <w:u w:val="none" w:color="000000"/>
                <w:vertAlign w:val="baseline"/>
              </w:rPr>
            </w:pPr>
            <w:r>
              <w:rPr>
                <w:rFonts w:ascii="Arial" w:eastAsia="Arial" w:hAnsi="Arial" w:cs="Arial"/>
                <w:b w:val="0"/>
                <w:i w:val="0"/>
                <w:caps w:val="0"/>
                <w:strike w:val="0"/>
                <w:color w:val="000000"/>
                <w:sz w:val="22"/>
                <w:u w:val="none" w:color="000000"/>
                <w:vertAlign w:val="baseline"/>
              </w:rPr>
              <w:t>5. Przeprowadzanie cyklicznych treningów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ćwiczeń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zakresie współdziałania służb inspekcji straży i</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innych jednostek podczas prowadzenia akcji ratowniczych w</w:t>
            </w:r>
            <w:r>
              <w:rPr>
                <w:rFonts w:ascii="Arial" w:eastAsia="Arial" w:hAnsi="Arial" w:cs="Arial"/>
                <w:b w:val="0"/>
                <w:i w:val="0"/>
                <w:caps w:val="0"/>
                <w:strike w:val="0"/>
                <w:color w:val="000000"/>
                <w:sz w:val="22"/>
                <w:u w:val="none" w:color="000000"/>
                <w:vertAlign w:val="baseline"/>
              </w:rPr>
              <w:t> </w:t>
            </w:r>
            <w:r>
              <w:rPr>
                <w:rFonts w:ascii="Arial" w:eastAsia="Arial" w:hAnsi="Arial" w:cs="Arial"/>
                <w:b w:val="0"/>
                <w:i w:val="0"/>
                <w:caps w:val="0"/>
                <w:strike w:val="0"/>
                <w:color w:val="000000"/>
                <w:sz w:val="22"/>
                <w:u w:val="none" w:color="000000"/>
                <w:vertAlign w:val="baseline"/>
              </w:rPr>
              <w:t>przypadku zaistnienia zagrożenia kryzysowego.</w:t>
            </w:r>
          </w:p>
        </w:tc>
        <w:tc>
          <w:tcPr>
            <w:tcW w:w="2880" w:type="dxa"/>
            <w:tcBorders>
              <w:top w:val="single" w:sz="4" w:space="0" w:color="auto"/>
              <w:left w:val="single" w:sz="2" w:space="0" w:color="auto"/>
              <w:bottom w:val="single" w:sz="2" w:space="0" w:color="auto"/>
              <w:right w:val="single" w:sz="2" w:space="0" w:color="auto"/>
            </w:tcBorders>
            <w:noWrap w:val="0"/>
            <w:tcMar>
              <w:top w:w="100" w:type="dxa"/>
            </w:tcMar>
            <w:textDirection w:val="lrTb"/>
            <w:vAlign w:val="center"/>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 xml:space="preserve">Wydział Zarządzania Kryzysowego </w:t>
            </w:r>
          </w:p>
        </w:tc>
      </w:tr>
      <w:tr>
        <w:tblPrEx>
          <w:tblW w:w="5000" w:type="pct"/>
          <w:tblLayout w:type="fixed"/>
          <w:tblCellMar>
            <w:left w:w="108" w:type="dxa"/>
            <w:right w:w="108" w:type="dxa"/>
          </w:tblCellMar>
        </w:tblPrEx>
        <w:trPr>
          <w:trHeight w:val="1050"/>
        </w:trPr>
        <w:tc>
          <w:tcPr>
            <w:tcW w:w="10080" w:type="dxa"/>
            <w:gridSpan w:val="8"/>
            <w:tcBorders>
              <w:top w:val="single" w:sz="4" w:space="0" w:color="auto"/>
              <w:left w:val="single" w:sz="2" w:space="0" w:color="auto"/>
              <w:bottom w:val="single" w:sz="2" w:space="0" w:color="auto"/>
              <w:right w:val="single" w:sz="2" w:space="0" w:color="auto"/>
            </w:tcBorders>
            <w:noWrap w:val="0"/>
            <w:tcMar>
              <w:top w:w="100" w:type="dxa"/>
            </w:tcMar>
            <w:textDirection w:val="lrTb"/>
            <w:vAlign w:val="top"/>
          </w:tcPr>
          <w:p w:rsidR="00A77B3E">
            <w:pPr>
              <w:spacing w:before="120" w:after="120"/>
              <w:jc w:val="left"/>
              <w:rPr>
                <w:rFonts w:ascii="Arial" w:eastAsia="Arial" w:hAnsi="Arial" w:cs="Arial"/>
                <w:b w:val="0"/>
                <w:i w:val="0"/>
                <w:caps w:val="0"/>
                <w:strike w:val="0"/>
                <w:color w:val="000000"/>
                <w:sz w:val="24"/>
                <w:u w:val="none" w:color="000000"/>
                <w:vertAlign w:val="baseline"/>
              </w:rPr>
            </w:pPr>
            <w:r>
              <w:rPr>
                <w:sz w:val="22"/>
              </w:rPr>
              <w:t>Wskaźniki satysfakcji:</w:t>
            </w:r>
          </w:p>
          <w:p>
            <w:pPr>
              <w:jc w:val="left"/>
            </w:pPr>
            <w:r>
              <w:rPr>
                <w:sz w:val="22"/>
              </w:rPr>
              <w:t>1) ograniczenie ilości pożarów na terenie miasta w kolejnych latach realizacji programu;</w:t>
            </w:r>
          </w:p>
          <w:p>
            <w:pPr>
              <w:jc w:val="left"/>
            </w:pPr>
            <w:r>
              <w:rPr>
                <w:sz w:val="22"/>
              </w:rPr>
              <w:t>2) ograniczenie liczby zdarzeń powstałych w wyniku użytkowania niesprawnych urządzeń grzewczo-kominowych w kolejnych latach realizacji programu;</w:t>
            </w:r>
          </w:p>
          <w:p>
            <w:pPr>
              <w:jc w:val="left"/>
            </w:pPr>
            <w:r>
              <w:rPr>
                <w:sz w:val="22"/>
              </w:rPr>
              <w:t>3) ograniczenia liczby zatruć tlenkiem węgla w kolejnych latach realizacji programu.</w:t>
            </w:r>
          </w:p>
          <w:p>
            <w:pPr>
              <w:jc w:val="left"/>
            </w:pPr>
            <w:r>
              <w:rPr>
                <w:sz w:val="22"/>
              </w:rPr>
              <w:t>Podmiot wiodący: Komenda Miejska Państwowej Straży Pożarnej, Wydział Zarządzania Kryzysowego</w:t>
            </w:r>
          </w:p>
        </w:tc>
      </w:tr>
    </w:tbl>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b/>
          <w:sz w:val="24"/>
        </w:rPr>
        <w:t>§ 7. </w:t>
      </w:r>
      <w:r>
        <w:rPr>
          <w:rFonts w:ascii="Arial" w:eastAsia="Arial" w:hAnsi="Arial" w:cs="Arial"/>
          <w:b w:val="0"/>
          <w:i w:val="0"/>
          <w:caps w:val="0"/>
          <w:strike w:val="0"/>
          <w:color w:val="auto"/>
          <w:sz w:val="24"/>
          <w:u w:val="none"/>
          <w:vertAlign w:val="baseline"/>
        </w:rPr>
        <w:t>Podsumowanie</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sz w:val="24"/>
        </w:rPr>
        <w:t>1. </w:t>
      </w:r>
      <w:r>
        <w:rPr>
          <w:rFonts w:ascii="Arial" w:eastAsia="Arial" w:hAnsi="Arial" w:cs="Arial"/>
          <w:b w:val="0"/>
          <w:i w:val="0"/>
          <w:caps w:val="0"/>
          <w:strike w:val="0"/>
          <w:color w:val="auto"/>
          <w:sz w:val="24"/>
          <w:u w:val="none"/>
          <w:vertAlign w:val="baseline"/>
        </w:rPr>
        <w:t>Partnerzy programu wyznaczeni jako podmioty wiodące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realizacji poszczególnych kierunków działań zobowiązani będą do składania rocznych sprawozdań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wykonanych przedsięwzięć Miejskiego Programu Zapobiegania Przestępczości oraz Ochrony Bezpieczeństwa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Porządku – Prezydentowi Miasta.</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pPr>
      <w:r>
        <w:rPr>
          <w:rFonts w:ascii="Arial" w:eastAsia="Arial" w:hAnsi="Arial" w:cs="Arial"/>
          <w:sz w:val="24"/>
        </w:rPr>
        <w:t>2. </w:t>
      </w:r>
      <w:r>
        <w:rPr>
          <w:rFonts w:ascii="Arial" w:eastAsia="Arial" w:hAnsi="Arial" w:cs="Arial"/>
          <w:b w:val="0"/>
          <w:i w:val="0"/>
          <w:caps w:val="0"/>
          <w:strike w:val="0"/>
          <w:color w:val="auto"/>
          <w:sz w:val="24"/>
          <w:u w:val="none"/>
          <w:vertAlign w:val="baseline"/>
        </w:rPr>
        <w:t>Do wykonania poszczególnych zadań programu zobowiązani zostali wyznaczeni koordynatorzy zgodnie z</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posiadanymi kompetencjami, a</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ponadto realizacja przedsięwzięć programu odbywać się będzie m.in.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ramach:</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1) </w:t>
      </w:r>
      <w:r>
        <w:rPr>
          <w:rFonts w:ascii="Arial" w:eastAsia="Arial" w:hAnsi="Arial" w:cs="Arial"/>
          <w:b w:val="0"/>
          <w:i w:val="0"/>
          <w:caps w:val="0"/>
          <w:strike w:val="0"/>
          <w:color w:val="auto"/>
          <w:sz w:val="24"/>
          <w:u w:val="none"/>
          <w:vertAlign w:val="baseline"/>
        </w:rPr>
        <w:t>Gminnego Programu Profilaktyki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Rozwiązywania Problemów Alkoholowych na lata 2024-2026;</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2) </w:t>
      </w:r>
      <w:r>
        <w:rPr>
          <w:rFonts w:ascii="Arial" w:eastAsia="Arial" w:hAnsi="Arial" w:cs="Arial"/>
          <w:b w:val="0"/>
          <w:i w:val="0"/>
          <w:caps w:val="0"/>
          <w:strike w:val="0"/>
          <w:color w:val="auto"/>
          <w:sz w:val="24"/>
          <w:u w:val="none"/>
          <w:vertAlign w:val="baseline"/>
        </w:rPr>
        <w:t>Bytomskiego Programu Przeciwdziałania Narkomanii;</w:t>
      </w:r>
    </w:p>
    <w:p w:rsidR="00A77B3E">
      <w:pPr>
        <w:keepNext w:val="0"/>
        <w:keepLines w:val="0"/>
        <w:spacing w:before="120" w:after="120" w:line="276" w:lineRule="auto"/>
        <w:ind w:left="340" w:right="0" w:hanging="227"/>
        <w:jc w:val="left"/>
        <w:rPr>
          <w:rFonts w:ascii="Arial" w:eastAsia="Arial" w:hAnsi="Arial" w:cs="Arial"/>
          <w:b w:val="0"/>
          <w:i w:val="0"/>
          <w:caps w:val="0"/>
          <w:strike w:val="0"/>
          <w:color w:val="auto"/>
          <w:sz w:val="24"/>
          <w:u w:val="none"/>
          <w:vertAlign w:val="baseline"/>
        </w:rPr>
      </w:pPr>
      <w:r>
        <w:rPr>
          <w:rFonts w:ascii="Arial" w:eastAsia="Arial" w:hAnsi="Arial" w:cs="Arial"/>
          <w:sz w:val="24"/>
        </w:rPr>
        <w:t>3) </w:t>
      </w:r>
      <w:r>
        <w:rPr>
          <w:rFonts w:ascii="Arial" w:eastAsia="Arial" w:hAnsi="Arial" w:cs="Arial"/>
          <w:b w:val="0"/>
          <w:i w:val="0"/>
          <w:caps w:val="0"/>
          <w:strike w:val="0"/>
          <w:color w:val="auto"/>
          <w:sz w:val="24"/>
          <w:u w:val="none"/>
          <w:vertAlign w:val="baseline"/>
        </w:rPr>
        <w:t>Strategii Rozwiązywania Problemów Społecznych.</w:t>
      </w:r>
    </w:p>
    <w:p w:rsidR="00A77B3E">
      <w:pPr>
        <w:keepNext w:val="0"/>
        <w:keepLines/>
        <w:spacing w:before="120" w:after="120" w:line="276" w:lineRule="auto"/>
        <w:ind w:left="0" w:right="0" w:firstLine="340"/>
        <w:jc w:val="left"/>
        <w:rPr>
          <w:rFonts w:ascii="Arial" w:eastAsia="Arial" w:hAnsi="Arial" w:cs="Arial"/>
          <w:b w:val="0"/>
          <w:i w:val="0"/>
          <w:caps w:val="0"/>
          <w:strike w:val="0"/>
          <w:color w:val="auto"/>
          <w:sz w:val="24"/>
          <w:u w:val="none"/>
          <w:vertAlign w:val="baseline"/>
        </w:rPr>
        <w:sectPr>
          <w:footerReference w:type="default" r:id="rId5"/>
          <w:endnotePr>
            <w:numFmt w:val="decimal"/>
          </w:endnotePr>
          <w:type w:val="nextPage"/>
          <w:pgSz w:w="11906" w:h="16838"/>
          <w:pgMar w:top="1417" w:right="1020" w:bottom="992" w:left="1020" w:header="708" w:footer="708" w:gutter="0"/>
          <w:cols w:space="708"/>
          <w:docGrid w:linePitch="360"/>
        </w:sectPr>
      </w:pPr>
      <w:r>
        <w:rPr>
          <w:rFonts w:ascii="Arial" w:eastAsia="Arial" w:hAnsi="Arial" w:cs="Arial"/>
          <w:sz w:val="24"/>
        </w:rPr>
        <w:t>3. </w:t>
      </w:r>
      <w:r>
        <w:rPr>
          <w:rFonts w:ascii="Arial" w:eastAsia="Arial" w:hAnsi="Arial" w:cs="Arial"/>
          <w:b w:val="0"/>
          <w:i w:val="0"/>
          <w:caps w:val="0"/>
          <w:strike w:val="0"/>
          <w:color w:val="auto"/>
          <w:sz w:val="24"/>
          <w:u w:val="none"/>
          <w:vertAlign w:val="baseline"/>
        </w:rPr>
        <w:t>Miejski Program Zapobiegania Przestępczości oraz Ochrony Bezpieczeństwa Obywateli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Porządku Publicznego w</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Bytomiu na lata 2024-2026 powinien stanowić narzędzie wspierające realizację ustawowych działań samorządu terytorialnego na rzecz poprawy bezpieczeństwa i</w:t>
      </w:r>
      <w:r>
        <w:rPr>
          <w:rFonts w:ascii="Arial" w:eastAsia="Arial" w:hAnsi="Arial" w:cs="Arial"/>
          <w:b w:val="0"/>
          <w:i w:val="0"/>
          <w:caps w:val="0"/>
          <w:strike w:val="0"/>
          <w:color w:val="auto"/>
          <w:sz w:val="24"/>
          <w:u w:val="none"/>
          <w:vertAlign w:val="baseline"/>
        </w:rPr>
        <w:t> </w:t>
      </w:r>
      <w:r>
        <w:rPr>
          <w:rFonts w:ascii="Arial" w:eastAsia="Arial" w:hAnsi="Arial" w:cs="Arial"/>
          <w:b w:val="0"/>
          <w:i w:val="0"/>
          <w:caps w:val="0"/>
          <w:strike w:val="0"/>
          <w:color w:val="auto"/>
          <w:sz w:val="24"/>
          <w:u w:val="none"/>
          <w:vertAlign w:val="baseline"/>
        </w:rPr>
        <w:t>porządku publicznego na terenie miasta Bytomia.</w:t>
      </w: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rFonts w:eastAsia="Times New Roman" w:cs="Times New Roman"/>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Zgodnie z art. 12 pkt 9b oraz art. 92 ust. 1 pkt 1 i ust. 3 ustawy o samorządzie powiatowym (Dz. U. z 2022 r. poz. 1526</w:t>
      </w:r>
      <w:r>
        <w:rPr>
          <w:rFonts w:eastAsia="Times New Roman" w:cs="Times New Roman"/>
          <w:szCs w:val="20"/>
        </w:rPr>
        <w:t>,</w:t>
      </w:r>
      <w:r>
        <w:rPr>
          <w:rFonts w:eastAsia="Times New Roman" w:cs="Times New Roman"/>
          <w:szCs w:val="20"/>
        </w:rPr>
        <w:t xml:space="preserve"> z późn. zm.) do wyłącznej właściwości rady powiatu należy uchwalenie powiatowego programu zapobiegania przestępczości oraz ochrony bezpieczeństwa obywateli i porządku publicznego. Na podstawie art. 38a ust. 2 ww. ustawy, przygotowanie projektu ww. programu należy do zadań Komisji Bezpieczeństwa i Porządku.</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Z dniem 31 grudnia 2023 roku upływa termin realizacji Miejskiego Programu Zapobiegania Przestępczości oraz Ochrony Bezpieczeństwa Obywateli i Porządku Publicznego w Bytomiu na lata 2021-2023, przyjętego uchwałą Rady Miejskiej w Bytomiu nr XXXVIII/534/21 z dnia 25 stycznia 2021 r.</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Zgodnie ze swoimi kompetencjami ustawowymi, Komisja Bezpieczeństwa i Porządku opracowała nowy program pn. "Miejski Program Zapobiegania Przestępczości oraz Ochrony Bezpieczeństwa Obywateli i Porządku Publicznego na lata 2024-2026".</w:t>
      </w:r>
    </w:p>
    <w:p>
      <w:pPr>
        <w:keepNext w:val="0"/>
        <w:keepLines w:val="0"/>
        <w:widowControl/>
        <w:suppressLineNumbers w:val="0"/>
        <w:shd w:val="clear" w:color="auto" w:fill="auto"/>
        <w:suppressAutoHyphens w:val="0"/>
        <w:spacing w:before="120" w:beforeAutospacing="0" w:after="120" w:afterAutospacing="0" w:line="276" w:lineRule="auto"/>
        <w:ind w:left="0" w:right="0" w:firstLine="227"/>
        <w:contextualSpacing w:val="0"/>
        <w:rPr>
          <w:rFonts w:eastAsia="Times New Roman" w:cs="Times New Roman"/>
          <w:szCs w:val="20"/>
        </w:rPr>
      </w:pPr>
      <w:r>
        <w:rPr>
          <w:rFonts w:eastAsia="Times New Roman" w:cs="Times New Roman"/>
          <w:szCs w:val="20"/>
        </w:rPr>
        <w:t>Uwzględniając powyższe, wnoszę o podjęcie przedmiotowej uchwały.</w:t>
      </w:r>
    </w:p>
    <w:sectPr>
      <w:footerReference w:type="default" r:id="rId6"/>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tcMar>
          <w:textDirection w:val="lrTb"/>
          <w:vAlign w:val="top"/>
        </w:tcPr>
        <w:p>
          <w:pPr>
            <w:jc w:val="left"/>
            <w:rPr>
              <w:rFonts w:ascii="Arial" w:eastAsia="Arial" w:hAnsi="Arial" w:cs="Arial"/>
              <w:b w:val="0"/>
              <w:sz w:val="18"/>
            </w:rPr>
          </w:pPr>
          <w:r>
            <w:rPr>
              <w:rFonts w:ascii="Arial" w:eastAsia="Arial" w:hAnsi="Arial" w:cs="Arial"/>
              <w:b w:val="0"/>
              <w:sz w:val="18"/>
            </w:rPr>
            <w:t>Id: 7C03A8B4-3136-40E3-A1F5-03397B860772. Projekt</w:t>
          </w:r>
        </w:p>
      </w:tc>
      <w:tc>
        <w:tcPr>
          <w:tcW w:w="3289" w:type="dxa"/>
          <w:tcBorders>
            <w:top w:val="single" w:sz="4" w:space="0" w:color="auto"/>
            <w:left w:val="nil"/>
            <w:bottom w:val="nil"/>
            <w:right w:val="nil"/>
          </w:tcBorders>
          <w:noWrap w:val="0"/>
          <w:tcMar>
            <w:top w:w="100" w:type="dxa"/>
          </w:tcMar>
          <w:textDirection w:val="lrTb"/>
          <w:vAlign w:val="top"/>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tcMar>
          <w:textDirection w:val="lrTb"/>
          <w:vAlign w:val="top"/>
        </w:tcPr>
        <w:p>
          <w:pPr>
            <w:jc w:val="left"/>
            <w:rPr>
              <w:rFonts w:ascii="Arial" w:eastAsia="Arial" w:hAnsi="Arial" w:cs="Arial"/>
              <w:b w:val="0"/>
              <w:sz w:val="18"/>
            </w:rPr>
          </w:pPr>
          <w:r>
            <w:rPr>
              <w:rFonts w:ascii="Arial" w:eastAsia="Arial" w:hAnsi="Arial" w:cs="Arial"/>
              <w:b w:val="0"/>
              <w:sz w:val="18"/>
            </w:rPr>
            <w:t>Id: 7C03A8B4-3136-40E3-A1F5-03397B860772. Projekt</w:t>
          </w:r>
        </w:p>
      </w:tc>
      <w:tc>
        <w:tcPr>
          <w:tcW w:w="3289" w:type="dxa"/>
          <w:tcBorders>
            <w:top w:val="single" w:sz="4" w:space="0" w:color="auto"/>
            <w:left w:val="nil"/>
            <w:bottom w:val="nil"/>
            <w:right w:val="nil"/>
          </w:tcBorders>
          <w:noWrap w:val="0"/>
          <w:tcMar>
            <w:top w:w="100" w:type="dxa"/>
          </w:tcMar>
          <w:textDirection w:val="lrTb"/>
          <w:vAlign w:val="top"/>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tcMar>
          <w:textDirection w:val="lrTb"/>
          <w:vAlign w:val="top"/>
        </w:tcPr>
        <w:p>
          <w:pPr>
            <w:jc w:val="left"/>
            <w:rPr>
              <w:rFonts w:ascii="Arial" w:eastAsia="Arial" w:hAnsi="Arial" w:cs="Arial"/>
              <w:b w:val="0"/>
              <w:sz w:val="18"/>
            </w:rPr>
          </w:pPr>
          <w:r>
            <w:rPr>
              <w:rFonts w:ascii="Arial" w:eastAsia="Arial" w:hAnsi="Arial" w:cs="Arial"/>
              <w:b w:val="0"/>
              <w:sz w:val="18"/>
            </w:rPr>
            <w:t>Id: 7C03A8B4-3136-40E3-A1F5-03397B860772. Projekt</w:t>
          </w:r>
        </w:p>
      </w:tc>
      <w:tc>
        <w:tcPr>
          <w:tcW w:w="3289" w:type="dxa"/>
          <w:tcBorders>
            <w:top w:val="single" w:sz="4" w:space="0" w:color="auto"/>
            <w:left w:val="nil"/>
            <w:bottom w:val="nil"/>
            <w:right w:val="nil"/>
          </w:tcBorders>
          <w:noWrap w:val="0"/>
          <w:tcMar>
            <w:top w:w="100" w:type="dxa"/>
          </w:tcMar>
          <w:textDirection w:val="lrTb"/>
          <w:vAlign w:val="top"/>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lang w:val="pl-PL" w:eastAsia="pl-PL" w:bidi="pl-PL"/>
    </w:rPr>
  </w:style>
  <w:style w:type="character" w:default="1" w:styleId="DefaultParagraphFont">
    <w:name w:val="Default Paragraph Font"/>
    <w:semiHidden/>
    <w:rPr>
      <w:lang w:val="pl-PL" w:eastAsia="pl-PL" w:bidi="pl-PL"/>
    </w:rPr>
  </w:style>
  <w:style w:type="table" w:default="1" w:styleId="TableNormal">
    <w:name w:val="Normal Table"/>
    <w:semiHidden/>
    <w:rPr>
      <w:lang w:val="pl-PL" w:eastAsia="pl-PL" w:bidi="pl-PL"/>
    </w:rPr>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przyjęcia Miejskiego Programu Zapobiegania Przestępczości oraz Ochrony Bezpieczeństwa Obywateli i^Porządku Publicznego w^Bytomiu na lata 2024-2026</dc:subject>
  <dc:creator>apiorek</dc:creator>
  <cp:lastModifiedBy>apiorek</cp:lastModifiedBy>
  <cp:revision>1</cp:revision>
  <dcterms:created xsi:type="dcterms:W3CDTF">2024-01-29T09:07:57Z</dcterms:created>
  <dcterms:modified xsi:type="dcterms:W3CDTF">2024-01-29T09:07:57Z</dcterms:modified>
  <cp:category>Akt prawny</cp:category>
</cp:coreProperties>
</file>