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 ul. Brzezińskiej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 344,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części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Brzezińskiej,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część działki gruntu nr 81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(karta mapy 39, obręb Bytom),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2350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powierzchni 688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ASID Events Sp.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o.o.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realizację projektu pn.: „Ponowne wykorzystanie zabudowań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terenu na obszarze dawnych Warsztatów Naprawczych Górnośląskiej Kolei Wąskotorowej przy ul. Brzezińskiej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- „Studio 41902”-FE SL 2021-2027 Działanie 10.01. Wykorzystanie terenów zdegradowanych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rozwoju regionu poprzez inwestycje przedsiębiorstw” - utworzenie funkcjonalnego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nowoczesnego studia produkcyjnego, uniwersalnej przestrzeni co-workingowej pod wynajem oraz biur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magazynów.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 jest zawarciem umowy dzierżawy części nieruchomości położonej w Bytomiu przy ul. Brzezińskiej, stanowiącej własność Skarbu Państwa w użytkowaniu wieczystym Gminy Bytom, obejmującej część działki gruntu nr 81 (karta mapy 39, obręb Bytom), o pow. 2350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budynkami o łącznej powierzchni 688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, z przeznaczeniem na realizację projektu pn.: „Ponowne wykorzystanie zabudowań i zagospodarowanie terenu na obszarze dawnych Warsztatów Naprawczych Górnośląskiej Kolei Wąskotorowej przy ul. Brzezińskiej w Bytomiu - „Studio 41902”-FE SL 2021-2027 Działanie 10.01. Wykorzystanie terenów zdegradowanych w celu rozwoju regionu poprzez inwestycje przedsiębiorstw” - utworzenie funkcjonalnego i nowoczesnego studia produkcyjnego, uniwersalnej przestrzeni co-workingowej pod wynajem oraz biur </w:t>
        <w:br/>
        <w:t xml:space="preserve">i magazynów. Z uwagi na fakt, że przystosowanie budynków oraz gruntu do nich przyległego do nowej funkcji wymaga dużych nakładów finansowych, zasadnym jest zawarcie umowy dzierżawy na okres dłuższy niż trzy lata.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bezpośrednim sąsiedztwie wydzierżawione zostały już przez Gminę Bytom części nieruchomości z przeznaczeniem na działalność gospodarczą oraz artystyczną,</w:t>
        <w:br/>
        <w:t>co powoduje, iż cel umowy dzierżawy wskazany w niniejszej uchwale stanowi kontynuację sposobu zagospodarowania tego obszaru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 części nieruchomości stanowiącej własność Skarbu Państwa w użytkowaniu wieczystym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939B0EB8-A34A-474E-AC4E-1E03BC697685.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939B0EB8-A34A-474E-AC4E-1E03BC697685.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ul. Brzezińskiej</dc:subject>
  <dc:creator>jpieczyk</dc:creator>
  <cp:lastModifiedBy>jpieczyk</cp:lastModifiedBy>
  <cp:revision>1</cp:revision>
  <dcterms:created xsi:type="dcterms:W3CDTF">2024-01-22T10:40:28Z</dcterms:created>
  <dcterms:modified xsi:type="dcterms:W3CDTF">2024-01-22T10:40:28Z</dcterms:modified>
  <cp:category>Akt prawny</cp:category>
</cp:coreProperties>
</file>