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XLI/574/21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29 marca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przekazania petycji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petycjach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870)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Rada Miejska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uznaje się za organ niewłaściwy do rozpatrzenia petycji p.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wyrażenie opinii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przeprowadzenia „Bezpośredniego Referendum Ludowego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celu dokonania przez obywateli polskich akceptacji jako Aktów Woli Narodu: Nowego Kodeksu Wyborczego oraz Nowego Ustroju Prezydencko-Ludowego dla Polski”.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Rada Miejska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przekazuje petycję do Sejmu Rzeczypospolitej Polskiej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rozpatrzenia według właściwości.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zobowiązując do przekazania petycji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zawiadomienia podmiotu wnoszącego petycję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jej przekazaniu do organu właściwego do rozpatrzenia petycji.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dniu 19 lutego 2021 roku do Rady Miejskiej w Bytomiu wpłynął e-mail pani T.G. z petycją o wyrażenie przez Radę Miejską w Bytomiu opinii w sprawie przeprowadzenia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szCs w:val="20"/>
        </w:rPr>
        <w:t>Bezpośredniego Referendum Ludowego w celu dokonania przez obywateli polskich akceptacji jako Aktów Woli Narodu: Nowego Kodeksu Wyborczego oraz Nowego Ustroju Prezydencko-Ludowego dla Polski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 Przedmiotowy e-mail został wysłany w dniu 17 lutego 2021 roku na adres mailowy Urzędu Miejskiego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2 ust.3 ustawy z dnia 11 lipca 2014 r. o petycjach (Dz. U. z 2018 r. poz. 870) przedmiotem petycji może być żądanie, w szczególności, zmiany przepisów prawa, podjęcia rozstrzygnięcia lub innego działania w sprawie dotyczącej podmiotu wnoszącego petycję, życia zbiorowego lub wartości wymagających szczególnej ochrony w imię dobra wspólnego, mieszczących się w zakresie zadań i kompetencji adresata petycji. Komisja Skarg, Wniosków i Petycji Rady Miejskiej w Bytomiu na posiedzeniu w dniu 22 marca 2021 roku dokonała analizy treści petycji i zakwalifikowała przedmiotowe pismo, ze względu na jego przedmiot, jako petycję w rozumieniu przepisów niniejszej ustawy.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zapoznała się z treścią notatki prawnej radcy prawnego kancelarii prawnej prowadzącej obsługę prawną Urzędu Miejskiego w Bytomiu z dnia 4 marca 2021 roku.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Komisja stwierdza, że zawarte w petycji żądanie dotyczy wyrażenia przez Radę Miejską, w formie uchwały, opinii dotyczącej przeprowadzenia referendum w sprawie wprowadzenia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szCs w:val="20"/>
        </w:rPr>
        <w:t>Nowego Ustroju Prezydencko-Ludowego dla Polski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 xml:space="preserve"> oraz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szCs w:val="20"/>
        </w:rPr>
        <w:t>Nowego Kodeksu Wyborczego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, czyli w sprawie zmiany ustroju Rzeczypospolitej Polskiej oraz zmiany Kodeksu Wyborczego.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mocy art. 7 Konstytucji Rzeczypospolitej Polskiej organy władzy publicznej działają na podstawie i w granicach prawa. Zgodnie z zasadą legalizmu, wszelkie działania organu władzy publicznej muszą być oparte na wyraźnie określonej normie kompetencyjnej (Postanowienie siedmiu sędziów Sądu Najwyższego z 18 stycznia 2005 roku - sygn. WK 22/04).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przepisu art. 6 ust. 1 ustawy o samorządzie gminnym (Dz. U. z 2020 r. poz. 713, z późn. zm.) do zakresu działania gminy należą wszystkie sprawy publiczne o znaczeniu lokalnym, niezastrzeżone ustawami na rzecz innych podmiotów. Kwestie kształtowania ustroju Rzeczypospolitej Polskiej oraz określanie zasad przeprowadzania wyborów, tryb zgłaszania kandydatów i warunki ważności wyborów nie są sprawami tego typu. Zaproponowane w petycji pytania referendalne dotyczą spraw ogólnokrajowych, pozostających poza właściwością i kompetencjami gminy. Wobec powyższego brak podstaw prawnych do podjęcia przez Radę Miejską uchwały w sprawie rozpatrzenia przedmiotowej petycji.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stwierdza, że realizacja celu zawartego w przedmiotowej petycji znajduje się w zakresie kompetencji Sejmu, który na mocy art.125 ust.1 i 2 Konstytucji Rzeczypospolitej Polskiej oraz art. 60 pkt 1 ustawy z dnia 14 marca 2003 r. o referendum ogólnokrajowym w sprawach o szczególnym znaczeniu dla państwa może zarządzić referendum ogólnokrajowe.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Skarg, Wniosków i Petycji Rady Miejskiej w Bytomiu uznała, że organem właściwym do rozpatrzenia petycji p.T.G. jest Sejm Rzeczypospolitej Polskiej i wnosi o przyjęcie niniejszej uchwały przez Radę Miejską w Bytomiu.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4DED0D5B-20D5-4F48-86DC-C410810CC95B.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4DED0D5B-20D5-4F48-86DC-C410810CC95B.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XLI/574/21 z dnia 29 marca 2021 r.</dc:title>
  <dc:subject>w sprawie przekazania petycji</dc:subject>
  <dc:creator>masocha</dc:creator>
  <cp:lastModifiedBy>masocha</cp:lastModifiedBy>
  <cp:revision>1</cp:revision>
  <dcterms:created xsi:type="dcterms:W3CDTF">2021-03-29T16:26:40Z</dcterms:created>
  <dcterms:modified xsi:type="dcterms:W3CDTF">2021-03-29T16:26:40Z</dcterms:modified>
  <cp:category>Akt prawny</cp:category>
</cp:coreProperties>
</file>