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XLI/572/21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zadań z zakresu rehabilitacji zawodowej i społecznej osób niepełnosprawnych oraz ustalenia wysokości środków Państwowego Funduszu Rehabilitacji Osób Niepełnosprawnych przeznaczonych na ich realizację w 2021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do realizacji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zadania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 oraz ustala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nim wysokość środków Państwowego Funduszu Rehabilitacji Osób Niepełnosprawnych przeznaczonych na ich realizację.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23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XLI/572/21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7"/>
        <w:gridCol w:w="7706"/>
        <w:gridCol w:w="158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527.000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5.072.997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3.362.880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726.121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53.996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5.719.997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35a 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27 sierpnia 1997 r. o rehabilitacji zawodowej i społecznej oraz zatrudnianiu osób niepełnosprawnych (Dz. U. z 2020 r. poz. 426, z późn. zm.) rada powiatu w formie uchwały określa zadania z zakresu rehabilitacji zawodowej i społecznej osób niepełnosprawnych, na które przeznacza środki otrzymane z Państwowego Funduszu Rehabilitacji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2021 r. na realizację zadań w zakresie rehabilitacji zawodowej i społecznej osób niepełnosprawnych środki finansowe w łącznej wysokości 5.719.997 zł, w tym na dofinansowanie kosztów działania warsztatów terapii zajęciowej 3.362.880 zł (wg kalkulacji: 155 osób x 21.696 zł).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 zadań, tj. Miejskiego Ośrodka Pomocy Rodzinie, Powiatowego Urzędu Pracy i Wydziału Polityki Społecznej, oraz zgodnie z wymogami ustawy o rehabilitacji zawodowej i społecznej oraz zatrudnianiu osób niepełnosprawnych i będą przeznaczone na realizację zadań, szczegółowo określonych w załączniku do 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A3B227C9-2066-4CEC-ACAD-AAE9FE6B37DC.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A3B227C9-2066-4CEC-ACAD-AAE9FE6B37DC.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A3B227C9-2066-4CEC-ACAD-AAE9FE6B37DC.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XLI/572/21 z dnia 29 marca 2021 r.</dc:title>
  <dc:subject>w sprawie określenia zadań z^zakresu rehabilitacji zawodowej i^społecznej osób niepełnosprawnych oraz ustalenia wysokości środków Państwowego Funduszu Rehabilitacji Osób Niepełnosprawnych przeznaczonych na ich realizację w^2021 roku</dc:subject>
  <dc:creator>masocha</dc:creator>
  <cp:lastModifiedBy>masocha</cp:lastModifiedBy>
  <cp:revision>1</cp:revision>
  <dcterms:created xsi:type="dcterms:W3CDTF">2021-03-29T16:25:42Z</dcterms:created>
  <dcterms:modified xsi:type="dcterms:W3CDTF">2021-03-29T16:25:42Z</dcterms:modified>
  <cp:category>Akt prawny</cp:category>
</cp:coreProperties>
</file>