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XLI/571/21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stawek procentowych bonifikat przy sprzedaży przez Gminę Bytom lokali mieszkalnych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1b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Prezydent Miasta może udzielić bonifikaty od ceny sprzedaży lokali mieszkalnych uprzednio nabytych przez Gminę Bytom od Syndyka Masy Upadłości Spółki „ZARZĄDCA ANO” Sp.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o.o. ORZEŁ Spółka komandytowo-akcyjna, niezależnie od okresu trwania umowy najmu na czas nieoznaczony takiego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Wysokość stawek procentowych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66/4 - 54%;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70a/1 - 53%;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76a/2 - 53%;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76b/3 - 53%;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77/4 - 55%;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95/4 - 51%.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Warunkiem udzielenia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jest jednorazowa  wpłata przez najemcę, przed zawarciem umowy sprzedaży, całej ceny sprzedaży lokalu pomniejszonej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bonifikaty oraz kosztów wyceny danego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Dotychczas obowiązujące rozwiązania dotyczące sprzedaży lokali mieszkalnych, o których mowa w § 16  uchwały nr XVII/235/11 Rady Miejskiej w Bytomiu z dnia 28 września 2011 r. w sprawie ustalenia zasad gospodarowania zasobem nieruchomości gminy Bytom (Dz. Urz. Woj. Śl. z 2018 r. poz. 4834), przewidują możliwości udzielenia najemcy zainteresowanemu zakupem użytkowanego lokalu mieszkalnego różnej wysokości bonifikaty od jego wartości, określonej przez rzeczoznawcę majątkowego, w zależności od długości okresu wynajmowania danego lokalu przez najemcę na podstawie umowy najmu zawartej na czas nieoznaczony.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nabyciem przez gminę w 2020 r. od  Syndyka Masy Upadłości Spółki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ZARZĄDCA ANO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Sp. z o.o. ORZEŁ Spółka komandytowo-akcyjna prawa własności lokali mieszkalnych i budynków położonych na terenie miasta Bytomia, zachodzi konieczność wprowadzenia dodatkowej regulacji w zakresie przyznawania bonifikat najemcom poszczególnych lokali wchodzących w skład nabytego majątku.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zastosowaniem prawa pierwszeństwa, za cenę zbliżoną do ceny nabycia tychże lokali przez gminę.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5877E028-A76D-4956-ACF1-289346AEFC94.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5877E028-A76D-4956-ACF1-289346AEFC94.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XLI/571/21 z dnia 29 marca 2021 r.</dc:title>
  <dc:subject>w sprawie ustalenia wysokości stawek procentowych bonifikat przy sprzedaży przez Gminę Bytom lokali mieszkalnych</dc:subject>
  <dc:creator>masocha</dc:creator>
  <cp:lastModifiedBy>masocha</cp:lastModifiedBy>
  <cp:revision>1</cp:revision>
  <dcterms:created xsi:type="dcterms:W3CDTF">2021-03-29T16:24:16Z</dcterms:created>
  <dcterms:modified xsi:type="dcterms:W3CDTF">2021-03-29T16:24:16Z</dcterms:modified>
  <cp:category>Akt prawny</cp:category>
</cp:coreProperties>
</file>