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XLI/569/21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XVIII/242/15 Rady Miejskiej w Bytomiu w sprawie ustalenia Strefy Płatnego Parkowania, wysokości stawek opłaty za postój pojazdów samochodowych na drogach publicznych oraz określenia sposobu pobierania opłat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13b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1985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drogach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XVIII/242/15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ustalenia Strefy Płatnego Parkowania, wysokości stawek opłaty za postój pojazdów samochodowych na drogach publicznych oraz określenia sposobu pobierania opłat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6141, 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6353, 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5819, 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8384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9511),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 3,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kropkę zastępuje się średnikiem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Karta ŚKUP - Śląska Karta Usług Publicznych - system funkcjonujący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instytucjach publicznych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aglomeracji. Karta pełni funkcję pieniądza elektronicznego, biletu elektronicznego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komunikacji miejskiej.”;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kropkę zastępuje się średnikiem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wykupienie biletu parkingowego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parkomacie przy użyciu monet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nominałach: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zł,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 oraz 50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gr,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 gr;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wykupienie biletu parkingowego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parkomacie przy użyciu karty ŚKUP.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obowiązuje do dnia 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koniecznością utrzymania trwałości projektu ŚKUP przez dłuższy niż zakładano okres oraz oczekiwaniem na dostawę i montaż nowych urządzeń do pobierania opłat w Strefie Płatnego Parkowania, konieczne jest przedłużenie funkcjonalności obecnych urządzeń do dnia 30 czerwca br.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</w:t>
      </w:r>
      <w:r>
        <w:rPr>
          <w:rFonts w:eastAsia="Times New Roman" w:cs="Times New Roman"/>
          <w:szCs w:val="20"/>
        </w:rPr>
        <w:t>ła wchodzi w życie ze sk</w:t>
      </w:r>
      <w:r>
        <w:rPr>
          <w:rFonts w:eastAsia="Times New Roman" w:cs="Times New Roman"/>
          <w:szCs w:val="20"/>
        </w:rPr>
        <w:t>r</w:t>
      </w:r>
      <w:r>
        <w:rPr>
          <w:rFonts w:eastAsia="Times New Roman" w:cs="Times New Roman"/>
          <w:szCs w:val="20"/>
        </w:rPr>
        <w:t xml:space="preserve">óconym </w:t>
      </w:r>
      <w:r>
        <w:rPr>
          <w:rFonts w:eastAsia="Times New Roman" w:cs="Times New Roman"/>
          <w:szCs w:val="20"/>
        </w:rPr>
        <w:t xml:space="preserve">okresem vacatio legis z </w:t>
      </w:r>
      <w:r>
        <w:rPr>
          <w:rFonts w:eastAsia="Times New Roman" w:cs="Times New Roman"/>
          <w:szCs w:val="20"/>
        </w:rPr>
        <w:t>u</w:t>
      </w:r>
      <w:r>
        <w:rPr>
          <w:rFonts w:eastAsia="Times New Roman" w:cs="Times New Roman"/>
          <w:szCs w:val="20"/>
        </w:rPr>
        <w:t>w</w:t>
      </w:r>
      <w:r>
        <w:rPr>
          <w:rFonts w:eastAsia="Times New Roman" w:cs="Times New Roman"/>
          <w:szCs w:val="20"/>
        </w:rPr>
        <w:t xml:space="preserve">agi </w:t>
      </w:r>
      <w:r>
        <w:rPr>
          <w:rFonts w:eastAsia="Times New Roman" w:cs="Times New Roman"/>
          <w:szCs w:val="20"/>
        </w:rPr>
        <w:t>na uzasadn</w:t>
      </w:r>
      <w:r>
        <w:rPr>
          <w:rFonts w:eastAsia="Times New Roman" w:cs="Times New Roman"/>
          <w:szCs w:val="20"/>
        </w:rPr>
        <w:t>i</w:t>
      </w:r>
      <w:r>
        <w:rPr>
          <w:rFonts w:eastAsia="Times New Roman" w:cs="Times New Roman"/>
          <w:szCs w:val="20"/>
        </w:rPr>
        <w:t xml:space="preserve">ony przypadek </w:t>
      </w:r>
      <w:r>
        <w:rPr>
          <w:rFonts w:eastAsia="Times New Roman" w:cs="Times New Roman"/>
          <w:szCs w:val="20"/>
        </w:rPr>
        <w:t xml:space="preserve">polegający na konieczności utrzymania </w:t>
      </w:r>
      <w:r>
        <w:rPr>
          <w:rFonts w:eastAsia="Times New Roman" w:cs="Times New Roman"/>
          <w:szCs w:val="20"/>
        </w:rPr>
        <w:t>możliwości korzystania z płatnych powierzchni parkin</w:t>
      </w:r>
      <w:r>
        <w:rPr>
          <w:rFonts w:eastAsia="Times New Roman" w:cs="Times New Roman"/>
          <w:szCs w:val="20"/>
        </w:rPr>
        <w:t>gowych na terenie Miasta poprzez umo</w:t>
      </w:r>
      <w:r>
        <w:rPr>
          <w:rFonts w:eastAsia="Times New Roman" w:cs="Times New Roman"/>
          <w:szCs w:val="20"/>
        </w:rPr>
        <w:t>żliwienie dokonywania płatności w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par</w:t>
      </w:r>
      <w:r>
        <w:rPr>
          <w:rFonts w:eastAsia="Times New Roman" w:cs="Times New Roman"/>
          <w:szCs w:val="20"/>
        </w:rPr>
        <w:t xml:space="preserve">komatach </w:t>
      </w:r>
      <w:r>
        <w:rPr>
          <w:rFonts w:eastAsia="Times New Roman" w:cs="Times New Roman"/>
          <w:szCs w:val="20"/>
        </w:rPr>
        <w:t>za pomocą monet oraz karty ŚKUP. Skrócenie okre</w:t>
      </w:r>
      <w:r>
        <w:rPr>
          <w:rFonts w:eastAsia="Times New Roman" w:cs="Times New Roman"/>
          <w:szCs w:val="20"/>
        </w:rPr>
        <w:t>s</w:t>
      </w:r>
      <w:r>
        <w:rPr>
          <w:rFonts w:eastAsia="Times New Roman" w:cs="Times New Roman"/>
          <w:szCs w:val="20"/>
        </w:rPr>
        <w:t>u vacatio legis jest zgodne z zasadą demokratyc</w:t>
      </w:r>
      <w:r>
        <w:rPr>
          <w:rFonts w:eastAsia="Times New Roman" w:cs="Times New Roman"/>
          <w:szCs w:val="20"/>
        </w:rPr>
        <w:t>z</w:t>
      </w:r>
      <w:r>
        <w:rPr>
          <w:rFonts w:eastAsia="Times New Roman" w:cs="Times New Roman"/>
          <w:szCs w:val="20"/>
        </w:rPr>
        <w:t>n</w:t>
      </w:r>
      <w:r>
        <w:rPr>
          <w:rFonts w:eastAsia="Times New Roman" w:cs="Times New Roman"/>
          <w:szCs w:val="20"/>
        </w:rPr>
        <w:t xml:space="preserve">ego </w:t>
      </w:r>
      <w:r>
        <w:rPr>
          <w:rFonts w:eastAsia="Times New Roman" w:cs="Times New Roman"/>
          <w:szCs w:val="20"/>
        </w:rPr>
        <w:t xml:space="preserve">państwa prawnego albowiem przedmiotowa uchwała </w:t>
      </w:r>
      <w:r>
        <w:rPr>
          <w:rFonts w:eastAsia="Times New Roman" w:cs="Times New Roman"/>
          <w:szCs w:val="20"/>
        </w:rPr>
        <w:t>jedynie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powiększa </w:t>
      </w:r>
      <w:r>
        <w:rPr>
          <w:rFonts w:eastAsia="Times New Roman" w:cs="Times New Roman"/>
          <w:szCs w:val="20"/>
        </w:rPr>
        <w:t>zakres uprawnień osób korzystających z płatnych powierzchni parkingowych</w:t>
      </w:r>
      <w:r>
        <w:rPr>
          <w:rFonts w:eastAsia="Times New Roman" w:cs="Times New Roman"/>
          <w:szCs w:val="20"/>
        </w:rPr>
        <w:t>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591838FC-9535-4F60-B816-20454419BC52.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591838FC-9535-4F60-B816-20454419BC52.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XLI/569/21 z dnia 29 marca 2021 r.</dc:title>
  <dc:subject>zmieniająca uchwałę nr XVIII/242/15 Rady Miejskiej w^Bytomiu w^sprawie ustalenia Strefy Płatnego Parkowania, wysokości stawek opłaty za postój pojazdów samochodowych na drogach publicznych oraz określenia sposobu pobierania opłat</dc:subject>
  <dc:creator>masocha</dc:creator>
  <cp:lastModifiedBy>masocha</cp:lastModifiedBy>
  <cp:revision>1</cp:revision>
  <dcterms:created xsi:type="dcterms:W3CDTF">2021-03-29T16:27:33Z</dcterms:created>
  <dcterms:modified xsi:type="dcterms:W3CDTF">2021-03-29T16:27:33Z</dcterms:modified>
  <cp:category>Akt prawny</cp:category>
</cp:coreProperties>
</file>