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A83" w:rsidRPr="003A1A83" w:rsidRDefault="003A1A83" w:rsidP="003A1A83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3A1A83">
        <w:rPr>
          <w:rFonts w:ascii="Arial" w:eastAsia="Times New Roman" w:hAnsi="Arial" w:cs="Arial"/>
          <w:sz w:val="24"/>
          <w:szCs w:val="24"/>
          <w:lang w:eastAsia="pl-PL"/>
        </w:rPr>
        <w:t>Z</w:t>
      </w:r>
      <w:r>
        <w:rPr>
          <w:rFonts w:ascii="Arial" w:eastAsia="Times New Roman" w:hAnsi="Arial" w:cs="Arial"/>
          <w:sz w:val="24"/>
          <w:szCs w:val="24"/>
          <w:lang w:eastAsia="pl-PL"/>
        </w:rPr>
        <w:t>ałącznik do uchwały nr LXXXVIII/1118/</w:t>
      </w:r>
      <w:r w:rsidRPr="003A1A83">
        <w:rPr>
          <w:rFonts w:ascii="Arial" w:eastAsia="Times New Roman" w:hAnsi="Arial" w:cs="Arial"/>
          <w:sz w:val="24"/>
          <w:szCs w:val="24"/>
          <w:lang w:eastAsia="pl-PL"/>
        </w:rPr>
        <w:t>24 Rady Miejskiej w Bytomiu z dnia 22 stycznia 2024 roku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jest dostępny w Wydziale Inżynierii Środowiska Urzędu Miejskiego w Bytomiu</w:t>
      </w:r>
    </w:p>
    <w:p w:rsidR="00773F27" w:rsidRDefault="00773F27" w:rsidP="003A1A83">
      <w:pPr>
        <w:spacing w:after="0"/>
      </w:pPr>
    </w:p>
    <w:sectPr w:rsidR="00773F27" w:rsidSect="00773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3A1A83"/>
    <w:rsid w:val="003A1A83"/>
    <w:rsid w:val="00773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F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A1A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147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tsanecki</dc:creator>
  <cp:lastModifiedBy>tsanecki</cp:lastModifiedBy>
  <cp:revision>1</cp:revision>
  <dcterms:created xsi:type="dcterms:W3CDTF">2024-01-26T11:46:00Z</dcterms:created>
  <dcterms:modified xsi:type="dcterms:W3CDTF">2024-01-26T11:48:00Z</dcterms:modified>
</cp:coreProperties>
</file>