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LXXXVI/1074/23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wysokości stawek podatku od nieruchomości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 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opłatach lokalnych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Roczne stawki podatku od nieruchomości: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 budynków lub ich części: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50"/>
        <w:gridCol w:w="8507"/>
        <w:gridCol w:w="112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mieszkalnych – od 1</w:t>
            </w:r>
            <w:r>
              <w:t> </w:t>
            </w:r>
            <w:r>
              <w:t>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1,15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5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związanych z</w:t>
            </w:r>
            <w:r>
              <w:t> </w:t>
            </w:r>
            <w:r>
              <w:t>prowadzeniem działalności gospodarczej oraz od</w:t>
            </w:r>
            <w:r>
              <w:t> </w:t>
            </w:r>
            <w:r>
              <w:t>budynków mieszkalnych lub ich części zajętych na prowadzenie działalności</w:t>
            </w:r>
            <w:r>
              <w:t> </w:t>
            </w:r>
            <w:r>
              <w:t>gospodarczej – od 1</w:t>
            </w:r>
            <w:r>
              <w:t> </w:t>
            </w:r>
            <w:r>
              <w:t>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33,10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zajętych na prowadzenie działalności gospodarczej w</w:t>
            </w:r>
            <w:r>
              <w:t> </w:t>
            </w:r>
            <w:r>
              <w:t>zakresie obrotu kwalifikowanym materiałem siewnym – od 1</w:t>
            </w:r>
            <w:r>
              <w:t> </w:t>
            </w:r>
            <w:r>
              <w:t>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15,50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02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związanych z</w:t>
            </w:r>
            <w:r>
              <w:t> </w:t>
            </w:r>
            <w:r>
              <w:t>udzielaniem świadczeń zdrowotnych w</w:t>
            </w:r>
            <w:r>
              <w:t> </w:t>
            </w:r>
            <w:r>
              <w:t>rozumieniu przepisów o</w:t>
            </w:r>
            <w:r>
              <w:t> </w:t>
            </w:r>
            <w:r>
              <w:t>działalności leczniczej, zajętych przez podmioty udzielające tych świadczeń</w:t>
            </w:r>
          </w:p>
          <w:p>
            <w:pPr>
              <w:jc w:val="left"/>
            </w:pPr>
            <w:r>
              <w:t>– od 1</w:t>
            </w:r>
            <w:r>
              <w:t> </w:t>
            </w:r>
            <w:r>
              <w:t>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6,76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7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e)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pozostałych, w tym zajętych na prowadzenie odpłatnej statutowej działalności pożytku publicznego przez organizacje pożytku publicznego</w:t>
            </w:r>
          </w:p>
          <w:p>
            <w:pPr>
              <w:jc w:val="both"/>
            </w:pPr>
            <w:r>
              <w:t>– od 1</w:t>
            </w:r>
            <w:r>
              <w:t> </w:t>
            </w:r>
            <w:r>
              <w:t>m² powierzchni użytkowej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11,17</w:t>
            </w:r>
            <w:r>
              <w:t> </w:t>
            </w:r>
            <w:r>
              <w:t>zł;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 budowli: 2% wartości określonej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-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 ustawy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podatkach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opłatach lokalnych;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 gruntów: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65"/>
        <w:gridCol w:w="8567"/>
        <w:gridCol w:w="10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3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związanych z</w:t>
            </w:r>
            <w:r>
              <w:t> </w:t>
            </w:r>
            <w:r>
              <w:t>prowadzeniem działalności gospodarczej, bez względu na</w:t>
            </w:r>
            <w:r>
              <w:t> </w:t>
            </w:r>
            <w:r>
              <w:t>sposób zakwalifikowania w</w:t>
            </w:r>
            <w:r>
              <w:t> </w:t>
            </w:r>
            <w:r>
              <w:t>ewidencji gruntów i</w:t>
            </w:r>
            <w:r>
              <w:t> </w:t>
            </w:r>
            <w:r>
              <w:t>budynków</w:t>
            </w:r>
          </w:p>
          <w:p>
            <w:pPr>
              <w:jc w:val="both"/>
            </w:pPr>
            <w:r>
              <w:t>– od 1</w:t>
            </w:r>
            <w:r>
              <w:t> </w:t>
            </w:r>
            <w:r>
              <w:t>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1,34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pod wodami powierzchniowymi stojącymi lub wodami powierzchniowymi płynącymi jezior i</w:t>
            </w:r>
            <w:r>
              <w:t> </w:t>
            </w:r>
            <w:r>
              <w:t>zbiorników sztucznych –</w:t>
            </w:r>
            <w:r>
              <w:t> </w:t>
            </w:r>
            <w:r>
              <w:t>od</w:t>
            </w:r>
            <w:r>
              <w:t> </w:t>
            </w:r>
            <w:r>
              <w:t>1</w:t>
            </w:r>
            <w:r>
              <w:t> </w:t>
            </w:r>
            <w:r>
              <w:t>ha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6,66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3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pozostałych, w</w:t>
            </w:r>
            <w:r>
              <w:t> </w:t>
            </w:r>
            <w:r>
              <w:t>tym zajętych na prowadzenie odpłatnej statutowej działalności pożytku publicznego przez organizacje pożytku publicznego</w:t>
            </w:r>
          </w:p>
          <w:p>
            <w:pPr>
              <w:jc w:val="both"/>
            </w:pPr>
            <w:r>
              <w:t>– od 1</w:t>
            </w:r>
            <w:r>
              <w:t> </w:t>
            </w:r>
            <w:r>
              <w:t>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0,71</w:t>
            </w:r>
            <w:r>
              <w:t> </w:t>
            </w:r>
            <w:r>
              <w:t>zł,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3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d)</w:t>
            </w:r>
          </w:p>
        </w:tc>
        <w:tc>
          <w:tcPr>
            <w:tcW w:w="85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niezabudowanych objętych obszarem rewitalizacji, o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którym mowa w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ustawie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dnia 9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października 2015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r. o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rewitalizacji (Dz.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U.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2018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r. poz.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1398 oraz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 2019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r. poz.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730) 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położonych na terenach, dla których miejscowy plan zagospodarowania przestrzennego przewiduje przeznaczenie pod zabudowę mieszkaniową, usługową albo zabudowę o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przeznaczeniu mieszanym obejmującym wyłącznie te rodzaje zabudowy, jeżeli od dnia wejścia w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życie tego planu w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odniesieniu do tych gruntów upłynął okres 4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lat, a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w tym czasie nie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zakończono budowy zgodnie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przepisami prawa budowlanego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– od 1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m² powierzchni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/>
          <w:p/>
          <w:p/>
          <w:p/>
          <w:p/>
          <w:p/>
          <w:p>
            <w:pPr>
              <w:jc w:val="right"/>
            </w:pPr>
            <w:r>
              <w:t>4,39</w:t>
            </w:r>
            <w:r>
              <w:t> </w:t>
            </w:r>
            <w:r>
              <w:t>zł.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Traci moc uchwała nr LXXI/891/22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wysokości stawek podatku od nieruchomości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8223).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ustawy o podatkach i opłatach lokalnych, górne granice stawek podatku od nieruchomości na 2024 rok waloryzowane są o wskaźnik wzrostu cen towarów i usług konsumpcyjnych w okresie pierwszego półrocza roku, w którym stawki ulegają zmianie, w stosunku do analogicznego okresu roku poprzedniego. Wskaźnik ten ogłaszany jest przez Prezesa Głównego Urzędu Statystycznego i za I półrocze 2023 roku wyniósł 15,0%.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opublikowanym wskaźnikiem, maksymalne możliwe do zastosowania na 2024 rok stawki podatkowe przeliczone zostały przez Ministra Finansów i określone w obwieszczeniu z dnia 21 lipca 2023 r. w sprawie górnych granic stawek kwotowych podatków i opłat lokalnych na rok 2024 (M. P. z dnia 1 sierpnia 2023 r. poz. 774).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projekcie uchwały zaproponowano na 2024 rok stawki maksymalne. Konieczność określenia stawek w takiej wysokości wiąże się z założeniami do projektu budżetu miasta Bytomia na 2024 rok, zgodnie z którymi dla ustalenia wysokości dochodów z tytułu podatku od nieruchomości przyjęto stawki określone w obwieszczeniu Ministra Finansów w sprawie górnych granic stawek kwotowych podatków i opłat lokalnych na rok 2024.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Planowane dochody z tytułu podatku od nieruchomości będą możliwe do wykonania przy uwzględnieniu stawek podatkowych na 2024 rok, ujętych w niniejszym projekcie.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6FCF8F4F-F4D2-4D54-9BF4-35F670D63BBA.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6FCF8F4F-F4D2-4D54-9BF4-35F670D63BBA.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LXXXVI/1074/23 z dnia 27 listopada 2023 r.</dc:title>
  <dc:subject>w sprawie wysokości stawek podatku od nieruchomości na terenie miasta Bytomia</dc:subject>
  <dc:creator>masocha</dc:creator>
  <cp:lastModifiedBy>masocha</cp:lastModifiedBy>
  <cp:revision>1</cp:revision>
  <dcterms:created xsi:type="dcterms:W3CDTF">2023-11-28T14:52:46Z</dcterms:created>
  <dcterms:modified xsi:type="dcterms:W3CDTF">2023-11-28T14:52:46Z</dcterms:modified>
  <cp:category>Akt prawny</cp:category>
</cp:coreProperties>
</file>