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 2023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zmieniająca uchwałę nr XXXVIII/487/17 Rady Miejskiej w Bytomiu w sprawie przyjęcia „Gminnego Programu Rewitalizacji. Bytom 2020+”</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 18 ust. 2 pkt 15 ustawy z dnia 8 marca 1990 r. o samorządzie gminnym (Dz. U. z 2023 r. poz. 40, z późn. zm.) oraz art. 14 ust.1, art. 22 i art. 23 ustawy z dnia 9 października 2015 r. o rewitalizacji (Dz. U. z 2021 r. poz. 485, z późn. zm.)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 uchwale nr XXXVIII/487/17 Rady Miejskiej w Bytomiu z dnia 27 lutego 2017 r.</w:t>
      </w:r>
      <w:r>
        <w:rPr>
          <w:rFonts w:ascii="Arial" w:eastAsia="Arial" w:hAnsi="Arial" w:cs="Arial"/>
          <w:b w:val="0"/>
          <w:caps w:val="0"/>
          <w:strike w:val="0"/>
          <w:color w:val="auto"/>
          <w:sz w:val="24"/>
          <w:u w:val="none"/>
        </w:rPr>
        <w:br/>
      </w:r>
      <w:r>
        <w:rPr>
          <w:rFonts w:ascii="Arial" w:eastAsia="Arial" w:hAnsi="Arial" w:cs="Arial"/>
          <w:b w:val="0"/>
          <w:caps w:val="0"/>
          <w:strike w:val="0"/>
          <w:color w:val="auto"/>
          <w:sz w:val="24"/>
          <w:u w:val="none"/>
        </w:rPr>
        <w:t>w sprawie przyjęcia „Gminnego Programu Rewitalizacji. Bytom 2020+” z późn. zm., załącznik nr 4 do załącznika do uchwały - „Lista przedsięwzięć uzupełniających” otrzymuje brzmienie zgodne z załącznikiem do niniejszej uchwały.</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3. </w:t>
      </w:r>
      <w:r>
        <w:rPr>
          <w:rFonts w:ascii="Arial" w:eastAsia="Arial" w:hAnsi="Arial" w:cs="Arial"/>
          <w:b w:val="0"/>
          <w:caps w:val="0"/>
          <w:strike w:val="0"/>
          <w:color w:val="auto"/>
          <w:sz w:val="24"/>
          <w:u w:val="none"/>
        </w:rPr>
        <w:t>Uchwała wchodzi w życie z dniem podjęcia.</w:t>
      </w:r>
    </w:p>
    <w:p w:rsidR="00A77B3E">
      <w:pPr>
        <w:keepNext w:val="0"/>
        <w:keepLines/>
        <w:spacing w:before="280" w:after="280" w:line="276" w:lineRule="auto"/>
        <w:ind w:left="4535" w:right="0" w:firstLine="0"/>
        <w:jc w:val="left"/>
        <w:rPr>
          <w:rFonts w:ascii="Arial" w:eastAsia="Arial" w:hAnsi="Arial" w:cs="Arial"/>
          <w:b w:val="0"/>
          <w:caps w:val="0"/>
          <w:strike w:val="0"/>
          <w:color w:val="auto"/>
          <w:sz w:val="24"/>
          <w:u w:val="none"/>
        </w:rPr>
        <w:sectPr>
          <w:footerReference w:type="default" r:id="rId5"/>
          <w:endnotePr>
            <w:numFmt w:val="decimal"/>
          </w:endnotePr>
          <w:type w:val="nextPage"/>
          <w:pgSz w:w="11906" w:h="16838"/>
          <w:pgMar w:top="1417" w:right="1020" w:bottom="992" w:left="1020" w:header="708" w:footer="708" w:gutter="0"/>
          <w:cols w:space="708"/>
          <w:docGrid w:linePitch="360"/>
        </w:sectPr>
      </w:pPr>
      <w:r>
        <w:t>Załącznik do uchwały</w:t>
      </w:r>
      <w:r>
        <w:rPr>
          <w:rFonts w:ascii="Arial" w:eastAsia="Arial" w:hAnsi="Arial" w:cs="Arial"/>
          <w:b w:val="0"/>
          <w:caps w:val="0"/>
          <w:strike w:val="0"/>
          <w:color w:val="auto"/>
          <w:sz w:val="24"/>
          <w:u w:val="none"/>
        </w:rPr>
        <w:t xml:space="preserve"> Nr </w:t>
      </w:r>
      <w:r>
        <w:rPr>
          <w:rFonts w:ascii="Arial" w:eastAsia="Arial" w:hAnsi="Arial" w:cs="Arial"/>
          <w:b w:val="0"/>
          <w:caps w:val="0"/>
          <w:strike w:val="0"/>
          <w:color w:val="auto"/>
          <w:sz w:val="24"/>
          <w:u w:val="none"/>
        </w:rPr>
        <w:t>....................</w:t>
      </w:r>
      <w:r>
        <w:rPr>
          <w:rFonts w:ascii="Arial" w:eastAsia="Arial" w:hAnsi="Arial" w:cs="Arial"/>
          <w:b w:val="0"/>
          <w:caps w:val="0"/>
          <w:strike w:val="0"/>
          <w:color w:val="auto"/>
          <w:sz w:val="24"/>
          <w:u w:val="none"/>
        </w:rPr>
        <w:br/>
      </w:r>
      <w:r>
        <w:t>Rady Miejskiej w Bytomiu</w:t>
      </w:r>
      <w:r>
        <w:rPr>
          <w:rFonts w:ascii="Arial" w:eastAsia="Arial" w:hAnsi="Arial" w:cs="Arial"/>
          <w:b w:val="0"/>
          <w:caps w:val="0"/>
          <w:strike w:val="0"/>
          <w:color w:val="auto"/>
          <w:sz w:val="24"/>
          <w:u w:val="none"/>
        </w:rPr>
        <w:br/>
      </w:r>
      <w:r>
        <w:rPr>
          <w:rFonts w:ascii="Arial" w:eastAsia="Arial" w:hAnsi="Arial" w:cs="Arial"/>
          <w:sz w:val="24"/>
        </w:rPr>
        <w:t>z dnia .................... 2023 r.</w:t>
      </w:r>
      <w:r>
        <w:rPr>
          <w:rFonts w:ascii="Arial" w:eastAsia="Arial" w:hAnsi="Arial" w:cs="Arial"/>
          <w:b w:val="0"/>
          <w:caps w:val="0"/>
          <w:strike w:val="0"/>
          <w:color w:val="auto"/>
          <w:sz w:val="24"/>
          <w:u w:val="none"/>
        </w:rPr>
        <w:br/>
      </w:r>
      <w:hyperlink r:id="rId6" w:history="1">
        <w:r>
          <w:rPr>
            <w:rStyle w:val="Hyperlink"/>
            <w:rFonts w:ascii="Arial" w:eastAsia="Arial" w:hAnsi="Arial" w:cs="Arial"/>
            <w:b w:val="0"/>
            <w:caps w:val="0"/>
            <w:strike w:val="0"/>
            <w:color w:val="auto"/>
            <w:sz w:val="24"/>
            <w:u w:val="none"/>
          </w:rPr>
          <w:t>Zalacznik1.pdf</w:t>
        </w:r>
      </w:hyperlink>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color w:val="000000"/>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360" w:lineRule="auto"/>
        <w:ind w:left="0" w:right="0" w:firstLine="0"/>
        <w:contextualSpacing w:val="0"/>
        <w:jc w:val="center"/>
        <w:rPr>
          <w:rFonts w:eastAsia="Times New Roman" w:cs="Times New Roman"/>
          <w:b/>
          <w:caps/>
          <w:color w:val="000000"/>
          <w:szCs w:val="20"/>
          <w:shd w:val="clear" w:color="auto" w:fill="FFFFFF"/>
          <w:lang w:val="x-none" w:eastAsia="en-US" w:bidi="ar-SA"/>
        </w:rPr>
      </w:pPr>
      <w:r>
        <w:rPr>
          <w:rFonts w:eastAsia="Times New Roman" w:cs="Times New Roman"/>
          <w:b/>
          <w:caps/>
          <w:color w:val="000000"/>
          <w:szCs w:val="20"/>
          <w:shd w:val="clear" w:color="auto" w:fill="FFFFFF"/>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720"/>
        <w:contextualSpacing w:val="0"/>
        <w:rPr>
          <w:rFonts w:eastAsia="Times New Roman" w:cs="Times New Roman"/>
          <w:color w:val="000000"/>
          <w:szCs w:val="20"/>
          <w:shd w:val="clear" w:color="auto" w:fill="FFFFFF"/>
        </w:rPr>
      </w:pPr>
      <w:r>
        <w:rPr>
          <w:rFonts w:eastAsia="Times New Roman" w:cs="Times New Roman"/>
          <w:color w:val="000000"/>
          <w:szCs w:val="20"/>
          <w:shd w:val="clear" w:color="auto" w:fill="FFFFFF"/>
          <w:lang w:val="x-none" w:eastAsia="en-US" w:bidi="ar-SA"/>
        </w:rPr>
        <w:t>„</w:t>
      </w:r>
      <w:r>
        <w:rPr>
          <w:rFonts w:eastAsia="Times New Roman" w:cs="Times New Roman"/>
          <w:color w:val="000000"/>
          <w:szCs w:val="20"/>
          <w:shd w:val="clear" w:color="auto" w:fill="FFFFFF"/>
        </w:rPr>
        <w:t>Gminny Program Rewitalizacji. Bytom 2020+</w:t>
      </w:r>
      <w:r>
        <w:rPr>
          <w:rFonts w:eastAsia="Times New Roman" w:cs="Times New Roman"/>
          <w:color w:val="000000"/>
          <w:szCs w:val="20"/>
          <w:shd w:val="clear" w:color="auto" w:fill="FFFFFF"/>
          <w:lang w:val="x-none" w:eastAsia="en-US" w:bidi="ar-SA"/>
        </w:rPr>
        <w:t>”</w:t>
      </w:r>
      <w:r>
        <w:rPr>
          <w:rFonts w:eastAsia="Times New Roman" w:cs="Times New Roman"/>
          <w:color w:val="000000"/>
          <w:szCs w:val="20"/>
          <w:shd w:val="clear" w:color="auto" w:fill="FFFFFF"/>
        </w:rPr>
        <w:t xml:space="preserve"> został przyjęty uchwałą nr XXXVIII/487/17 Rady Miejskiej w Bytomiu z dnia 27 lutego 2017 r. Uchwała została trzykrotnie zmieniona: uchwałą nr XVII/223/19 Rady Miejskiej w Bytomiu z dnia 23 września 2019 r., uchwałą nr XXVI/392/20 Rady Miejskiej w Bytomiu z dnia 23 marca 2020 r. oraz  uchwalą nr XLV/618/21</w:t>
      </w:r>
      <w:r>
        <w:rPr>
          <w:rFonts w:eastAsia="Times New Roman" w:cs="Times New Roman"/>
          <w:color w:val="000000"/>
          <w:szCs w:val="20"/>
          <w:shd w:val="clear" w:color="auto" w:fill="FFFFFF"/>
        </w:rPr>
        <w:t xml:space="preserve"> </w:t>
      </w:r>
      <w:r>
        <w:rPr>
          <w:rFonts w:eastAsia="Times New Roman" w:cs="Times New Roman"/>
          <w:color w:val="000000"/>
          <w:szCs w:val="20"/>
          <w:shd w:val="clear" w:color="auto" w:fill="FFFFFF"/>
        </w:rPr>
        <w:t>R</w:t>
      </w:r>
      <w:r>
        <w:rPr>
          <w:rFonts w:eastAsia="Times New Roman" w:cs="Times New Roman"/>
          <w:color w:val="000000"/>
          <w:szCs w:val="20"/>
          <w:shd w:val="clear" w:color="auto" w:fill="FFFFFF"/>
        </w:rPr>
        <w:t>a</w:t>
      </w:r>
      <w:r>
        <w:rPr>
          <w:rFonts w:eastAsia="Times New Roman" w:cs="Times New Roman"/>
          <w:color w:val="000000"/>
          <w:szCs w:val="20"/>
          <w:shd w:val="clear" w:color="auto" w:fill="FFFFFF"/>
        </w:rPr>
        <w:t>dy Miejskiej</w:t>
      </w:r>
      <w:r>
        <w:rPr>
          <w:rFonts w:eastAsia="Times New Roman" w:cs="Times New Roman"/>
          <w:color w:val="000000"/>
          <w:szCs w:val="20"/>
          <w:shd w:val="clear" w:color="auto" w:fill="FFFFFF"/>
        </w:rPr>
        <w:t xml:space="preserve"> z dnia 26 lipca 2021 r. </w:t>
      </w:r>
    </w:p>
    <w:p>
      <w:pPr>
        <w:keepNext w:val="0"/>
        <w:keepLines w:val="0"/>
        <w:widowControl/>
        <w:suppressLineNumbers w:val="0"/>
        <w:shd w:val="clear" w:color="auto" w:fill="auto"/>
        <w:suppressAutoHyphens w:val="0"/>
        <w:spacing w:before="120" w:beforeAutospacing="0" w:after="120" w:afterAutospacing="0" w:line="240" w:lineRule="auto"/>
        <w:ind w:left="0" w:right="0" w:firstLine="720"/>
        <w:contextualSpacing w:val="0"/>
        <w:rPr>
          <w:rFonts w:eastAsia="Times New Roman" w:cs="Times New Roman"/>
          <w:color w:val="000000"/>
          <w:szCs w:val="20"/>
          <w:shd w:val="clear" w:color="auto" w:fill="FFFFFF"/>
        </w:rPr>
      </w:pPr>
      <w:r>
        <w:rPr>
          <w:rFonts w:eastAsia="Times New Roman" w:cs="Times New Roman"/>
          <w:color w:val="000000"/>
          <w:szCs w:val="20"/>
          <w:shd w:val="clear" w:color="auto" w:fill="FFFFFF"/>
        </w:rPr>
        <w:t xml:space="preserve">Przesłanką do kolejnej zmiany jest konieczność aktualizacji dokumentu </w:t>
        <w:br/>
        <w:t xml:space="preserve">w nawiązaniu do zapisów rozdziału 3.3. Przedsięwzięcia rewitalizacyjne, podrozdziału 3.3.2. Charakterystyka pozostałych przedsięwzięć rewitalizacyjnych - załącznika nr 4 </w:t>
        <w:br/>
        <w:t>w postaci listy pozostałych nowych przedsięwzięć uzupełniających podstawowe przedsięwzięcia</w:t>
      </w:r>
      <w:r>
        <w:rPr>
          <w:rFonts w:eastAsia="Times New Roman" w:cs="Times New Roman"/>
          <w:color w:val="000000"/>
          <w:szCs w:val="20"/>
          <w:shd w:val="clear" w:color="auto" w:fill="FFFFFF"/>
        </w:rPr>
        <w:t>,</w:t>
      </w:r>
      <w:r>
        <w:rPr>
          <w:rFonts w:eastAsia="Times New Roman" w:cs="Times New Roman"/>
          <w:color w:val="000000"/>
          <w:szCs w:val="20"/>
          <w:shd w:val="clear" w:color="auto" w:fill="FFFFFF"/>
        </w:rPr>
        <w:t xml:space="preserve"> określonej w załączniku nr 2 do Gminnego Programu Rewitalizacji (dodano lp. od nr 128 do nr 191) oraz listy pozostałych nowych przedsięwzięć spoza obszaru rewitalizacji Bytomia oddziałujących na obszar rewitalizacji (dodano lp. od nr 5 do nr 7). Załącznik uwzględnia również zmiany wprowadzone w poprzednich aktualizacjach. </w:t>
      </w:r>
    </w:p>
    <w:p>
      <w:pPr>
        <w:keepNext w:val="0"/>
        <w:keepLines w:val="0"/>
        <w:widowControl/>
        <w:suppressLineNumbers w:val="0"/>
        <w:shd w:val="clear" w:color="auto" w:fill="auto"/>
        <w:suppressAutoHyphens w:val="0"/>
        <w:spacing w:before="120" w:beforeAutospacing="0" w:after="120" w:afterAutospacing="0" w:line="240" w:lineRule="auto"/>
        <w:ind w:left="0" w:right="0" w:firstLine="720"/>
        <w:contextualSpacing w:val="0"/>
        <w:rPr>
          <w:rFonts w:eastAsia="Times New Roman" w:cs="Times New Roman"/>
          <w:color w:val="000000"/>
          <w:szCs w:val="20"/>
          <w:shd w:val="clear" w:color="auto" w:fill="FFFFFF"/>
          <w:lang w:val="x-none" w:eastAsia="en-US" w:bidi="ar-SA"/>
        </w:rPr>
      </w:pPr>
      <w:r>
        <w:rPr>
          <w:rFonts w:eastAsia="Times New Roman" w:cs="Times New Roman"/>
          <w:color w:val="000000"/>
          <w:szCs w:val="20"/>
          <w:shd w:val="clear" w:color="auto" w:fill="FFFFFF"/>
        </w:rPr>
        <w:t xml:space="preserve">Zgodnie z zapisami art. 22 ust. 3 ustawy o rewitalizacji, Prezydent Miasta wystąpił do Rady Miejskiej w Bytomiu z wnioskiem  o zmianę </w:t>
      </w:r>
      <w:r>
        <w:rPr>
          <w:rFonts w:eastAsia="Times New Roman" w:cs="Times New Roman"/>
          <w:color w:val="000000"/>
          <w:szCs w:val="20"/>
          <w:shd w:val="clear" w:color="auto" w:fill="FFFFFF"/>
        </w:rPr>
        <w:t>„</w:t>
      </w:r>
      <w:r>
        <w:rPr>
          <w:rFonts w:eastAsia="Times New Roman" w:cs="Times New Roman"/>
          <w:color w:val="000000"/>
          <w:szCs w:val="20"/>
          <w:shd w:val="clear" w:color="auto" w:fill="FFFFFF"/>
        </w:rPr>
        <w:t>Gminnego Programu Rewitalizacji. Bytom 2020+</w:t>
      </w:r>
      <w:r>
        <w:rPr>
          <w:rFonts w:eastAsia="Times New Roman" w:cs="Times New Roman"/>
          <w:color w:val="000000"/>
          <w:szCs w:val="20"/>
          <w:shd w:val="clear" w:color="auto" w:fill="FFFFFF"/>
        </w:rPr>
        <w:t>”</w:t>
      </w:r>
      <w:r>
        <w:rPr>
          <w:rFonts w:eastAsia="Times New Roman" w:cs="Times New Roman"/>
          <w:color w:val="000000"/>
          <w:szCs w:val="20"/>
          <w:shd w:val="clear" w:color="auto" w:fill="FFFFFF"/>
        </w:rPr>
        <w:t xml:space="preserve">. Rada Miejska w dniu 24 kwietnia 2023 r. podjęła uchwałę </w:t>
        <w:br/>
        <w:t xml:space="preserve">nr LXXVII/985/23 w sprawie przystąpienia do aktualizacji </w:t>
      </w:r>
      <w:r>
        <w:rPr>
          <w:rFonts w:eastAsia="Times New Roman" w:cs="Times New Roman"/>
          <w:color w:val="000000"/>
          <w:szCs w:val="20"/>
          <w:shd w:val="clear" w:color="auto" w:fill="FFFFFF"/>
        </w:rPr>
        <w:t>„</w:t>
      </w:r>
      <w:r>
        <w:rPr>
          <w:rFonts w:eastAsia="Times New Roman" w:cs="Times New Roman"/>
          <w:color w:val="000000"/>
          <w:szCs w:val="20"/>
          <w:shd w:val="clear" w:color="auto" w:fill="FFFFFF"/>
        </w:rPr>
        <w:t>Gminnego Programu Rewitalizacji. Bytom 2020+</w:t>
      </w:r>
      <w:r>
        <w:rPr>
          <w:rFonts w:eastAsia="Times New Roman" w:cs="Times New Roman"/>
          <w:color w:val="000000"/>
          <w:szCs w:val="20"/>
          <w:shd w:val="clear" w:color="auto" w:fill="FFFFFF"/>
        </w:rPr>
        <w:t>”</w:t>
      </w:r>
      <w:r>
        <w:rPr>
          <w:rFonts w:eastAsia="Times New Roman" w:cs="Times New Roman"/>
          <w:color w:val="000000"/>
          <w:szCs w:val="20"/>
          <w:shd w:val="clear" w:color="auto" w:fill="FFFFFF"/>
        </w:rPr>
        <w:t xml:space="preserve">. Nabór  propozycji przedsięwzięć rewitalizacyjnych odbył się w terminie od 2 czerwca  do 3 lipca 2023 r. Wśród zaproponowanych przedsięwzięć znalazły się m.in. dotyczące remontów kamienic wspólnot, zagospodarowania terenów, jak również przedsięwzięcia wspierające rozwój infrastruktury społecznej (powstanie przedszkola, poradni zdrowia, rozbudowa hali sportowej do tenisa ziemnego, rewitalizacja  zabytkowych budynków na cele społeczne, rekreacyjne). Część propozycji przedsięwzięć dotyczyła szeroko pojętej transformacji. Znalazły się przedsięwzięcia dotyczące  m.in. budowy stacji ładowania pojazdów elektrycznych, instalacji OZE, budowy </w:t>
      </w:r>
      <w:r>
        <w:rPr>
          <w:rFonts w:eastAsia="Times New Roman" w:cs="Times New Roman"/>
          <w:color w:val="000000"/>
          <w:szCs w:val="20"/>
          <w:shd w:val="clear" w:color="auto" w:fill="FFFFFF"/>
        </w:rPr>
        <w:t>„</w:t>
      </w:r>
      <w:r>
        <w:rPr>
          <w:rFonts w:eastAsia="Times New Roman" w:cs="Times New Roman"/>
          <w:color w:val="000000"/>
          <w:szCs w:val="20"/>
          <w:shd w:val="clear" w:color="auto" w:fill="FFFFFF"/>
        </w:rPr>
        <w:t>zielonego kwartału</w:t>
      </w:r>
      <w:r>
        <w:rPr>
          <w:rFonts w:eastAsia="Times New Roman" w:cs="Times New Roman"/>
          <w:color w:val="000000"/>
          <w:szCs w:val="20"/>
          <w:shd w:val="clear" w:color="auto" w:fill="FFFFFF"/>
        </w:rPr>
        <w:t>”</w:t>
      </w:r>
      <w:r>
        <w:rPr>
          <w:rFonts w:eastAsia="Times New Roman" w:cs="Times New Roman"/>
          <w:color w:val="000000"/>
          <w:szCs w:val="20"/>
          <w:shd w:val="clear" w:color="auto" w:fill="FFFFFF"/>
        </w:rPr>
        <w:t xml:space="preserve">, transformacji poprzemysłowych terenów. Proponowane przedsięwzięcia </w:t>
      </w:r>
      <w:r>
        <w:rPr>
          <w:rFonts w:eastAsia="Times New Roman" w:cs="Times New Roman"/>
          <w:color w:val="000000"/>
          <w:szCs w:val="20"/>
          <w:shd w:val="clear" w:color="auto" w:fill="FFFFFF"/>
          <w:lang w:val="x-none" w:eastAsia="en-US" w:bidi="ar-SA"/>
        </w:rPr>
        <w:t>spełni</w:t>
      </w:r>
      <w:r>
        <w:rPr>
          <w:rFonts w:eastAsia="Times New Roman" w:cs="Times New Roman"/>
          <w:color w:val="000000"/>
          <w:szCs w:val="20"/>
          <w:shd w:val="clear" w:color="auto" w:fill="FFFFFF"/>
        </w:rPr>
        <w:t>ają</w:t>
      </w:r>
      <w:r>
        <w:rPr>
          <w:rFonts w:eastAsia="Times New Roman" w:cs="Times New Roman"/>
          <w:color w:val="000000"/>
          <w:szCs w:val="20"/>
          <w:shd w:val="clear" w:color="auto" w:fill="FFFFFF"/>
          <w:lang w:val="x-none" w:eastAsia="en-US" w:bidi="ar-SA"/>
        </w:rPr>
        <w:t xml:space="preserve"> wymog</w:t>
      </w:r>
      <w:r>
        <w:rPr>
          <w:rFonts w:eastAsia="Times New Roman" w:cs="Times New Roman"/>
          <w:color w:val="000000"/>
          <w:szCs w:val="20"/>
          <w:shd w:val="clear" w:color="auto" w:fill="FFFFFF"/>
        </w:rPr>
        <w:t>i</w:t>
      </w:r>
      <w:r>
        <w:rPr>
          <w:rFonts w:eastAsia="Times New Roman" w:cs="Times New Roman"/>
          <w:color w:val="000000"/>
          <w:szCs w:val="20"/>
          <w:shd w:val="clear" w:color="auto" w:fill="FFFFFF"/>
          <w:lang w:val="x-none" w:eastAsia="en-US" w:bidi="ar-SA"/>
        </w:rPr>
        <w:t xml:space="preserve"> określon</w:t>
      </w:r>
      <w:r>
        <w:rPr>
          <w:rFonts w:eastAsia="Times New Roman" w:cs="Times New Roman"/>
          <w:color w:val="000000"/>
          <w:szCs w:val="20"/>
          <w:shd w:val="clear" w:color="auto" w:fill="FFFFFF"/>
        </w:rPr>
        <w:t>e</w:t>
      </w:r>
      <w:r>
        <w:rPr>
          <w:rFonts w:eastAsia="Times New Roman" w:cs="Times New Roman"/>
          <w:color w:val="000000"/>
          <w:szCs w:val="20"/>
          <w:shd w:val="clear" w:color="auto" w:fill="FFFFFF"/>
          <w:lang w:val="x-none" w:eastAsia="en-US" w:bidi="ar-SA"/>
        </w:rPr>
        <w:t xml:space="preserve"> w GPR</w:t>
      </w:r>
      <w:r>
        <w:rPr>
          <w:rFonts w:eastAsia="Times New Roman" w:cs="Times New Roman"/>
          <w:color w:val="000000"/>
          <w:szCs w:val="20"/>
          <w:shd w:val="clear" w:color="auto" w:fill="FFFFFF"/>
        </w:rPr>
        <w:t xml:space="preserve">, </w:t>
      </w:r>
      <w:r>
        <w:rPr>
          <w:rFonts w:eastAsia="Times New Roman" w:cs="Times New Roman"/>
          <w:color w:val="000000"/>
          <w:szCs w:val="20"/>
          <w:shd w:val="clear" w:color="auto" w:fill="FFFFFF"/>
          <w:lang w:val="x-none" w:eastAsia="en-US" w:bidi="ar-SA"/>
        </w:rPr>
        <w:t>Strategii Rozwoju Miasta Bytomia „Bytom 2030+”</w:t>
      </w:r>
      <w:r>
        <w:rPr>
          <w:rFonts w:eastAsia="Times New Roman" w:cs="Times New Roman"/>
          <w:color w:val="000000"/>
          <w:szCs w:val="20"/>
          <w:shd w:val="clear" w:color="auto" w:fill="FFFFFF"/>
        </w:rPr>
        <w:t xml:space="preserve"> oraz </w:t>
      </w:r>
      <w:r>
        <w:rPr>
          <w:rFonts w:eastAsia="Times New Roman" w:cs="Times New Roman"/>
          <w:color w:val="000000"/>
          <w:szCs w:val="20"/>
          <w:shd w:val="clear" w:color="auto" w:fill="FFFFFF"/>
          <w:lang w:val="x-none" w:eastAsia="en-US" w:bidi="ar-SA"/>
        </w:rPr>
        <w:t>Szczegółow</w:t>
      </w:r>
      <w:r>
        <w:rPr>
          <w:rFonts w:eastAsia="Times New Roman" w:cs="Times New Roman"/>
          <w:color w:val="000000"/>
          <w:szCs w:val="20"/>
          <w:shd w:val="clear" w:color="auto" w:fill="FFFFFF"/>
        </w:rPr>
        <w:t>ego</w:t>
      </w:r>
      <w:r>
        <w:rPr>
          <w:rFonts w:eastAsia="Times New Roman" w:cs="Times New Roman"/>
          <w:color w:val="000000"/>
          <w:szCs w:val="20"/>
          <w:shd w:val="clear" w:color="auto" w:fill="FFFFFF"/>
          <w:lang w:val="x-none" w:eastAsia="en-US" w:bidi="ar-SA"/>
        </w:rPr>
        <w:t xml:space="preserve"> Opis</w:t>
      </w:r>
      <w:r>
        <w:rPr>
          <w:rFonts w:eastAsia="Times New Roman" w:cs="Times New Roman"/>
          <w:color w:val="000000"/>
          <w:szCs w:val="20"/>
          <w:shd w:val="clear" w:color="auto" w:fill="FFFFFF"/>
        </w:rPr>
        <w:t>u</w:t>
      </w:r>
      <w:r>
        <w:rPr>
          <w:rFonts w:eastAsia="Times New Roman" w:cs="Times New Roman"/>
          <w:color w:val="000000"/>
          <w:szCs w:val="20"/>
          <w:shd w:val="clear" w:color="auto" w:fill="FFFFFF"/>
          <w:lang w:val="x-none" w:eastAsia="en-US" w:bidi="ar-SA"/>
        </w:rPr>
        <w:t xml:space="preserve"> Priorytetów Programu Fundusze Europejskie dla Śląskiego 2021-2027</w:t>
      </w:r>
      <w:r>
        <w:rPr>
          <w:rFonts w:eastAsia="Times New Roman" w:cs="Times New Roman"/>
          <w:color w:val="000000"/>
          <w:szCs w:val="20"/>
          <w:shd w:val="clear" w:color="auto" w:fill="FFFFFF"/>
        </w:rPr>
        <w:t xml:space="preserve">. Z uwagi na fakt, że nie ulegają zmianie podstawowe przedsięwzięcia rewitalizacyjne oraz nie zidentyfikowano konieczności zmiany uchwały w sprawie ustanowienia Specjalnej Strefy Rewitalizacji, </w:t>
      </w:r>
      <w:r>
        <w:rPr>
          <w:rFonts w:eastAsia="Times New Roman" w:cs="Times New Roman"/>
          <w:color w:val="000000"/>
          <w:szCs w:val="20"/>
          <w:shd w:val="clear" w:color="auto" w:fill="FFFFFF"/>
        </w:rPr>
        <w:t>aktualizacji dokonano na podstawie art. 23 ust. 2 ustawy o</w:t>
      </w:r>
      <w:r>
        <w:rPr>
          <w:rFonts w:eastAsia="Times New Roman" w:cs="Times New Roman"/>
          <w:color w:val="000000"/>
          <w:szCs w:val="20"/>
          <w:shd w:val="clear" w:color="auto" w:fill="FFFFFF"/>
        </w:rPr>
        <w:t xml:space="preserve"> rewitalizacji. </w:t>
      </w:r>
    </w:p>
    <w:sectPr>
      <w:footerReference w:type="default" r:id="rId7"/>
      <w:type w:val="nextPage"/>
      <w:pgSz w:w="11907" w:h="16839" w:code="9"/>
      <w:pgMar w:top="1440" w:right="862"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7C5522A8-5D22-404F-B5D1-4B400E5A2FB8.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7C5522A8-5D22-404F-B5D1-4B400E5A2FB8.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7C5522A8-5D22-404F-B5D1-4B400E5A2FB8. Projekt</w:t>
          </w:r>
        </w:p>
      </w:tc>
      <w:tc>
        <w:tcPr>
          <w:tcW w:w="3202"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hyperlink" Target="Zalacznik1.pdf" TargetMode="Externa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zmieniająca uchwałę nr XXXVIII/487/17 Rady Miejskiej w^Bytomiu w^sprawie przyjęcia „Gminnego Programu Rewitalizacji. Bytom 2020+”</dc:subject>
  <dc:creator>mkruk</dc:creator>
  <cp:lastModifiedBy>mkruk</cp:lastModifiedBy>
  <cp:revision>1</cp:revision>
  <dcterms:created xsi:type="dcterms:W3CDTF">2023-09-04T09:27:22Z</dcterms:created>
  <dcterms:modified xsi:type="dcterms:W3CDTF">2023-09-04T09:27:22Z</dcterms:modified>
  <cp:category>Akt prawny</cp:category>
</cp:coreProperties>
</file>