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LXXXIII/1051/23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sierpnia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skargi na działalność Prezydenta Miasta 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239 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775,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bezzasadną skargę na działalność Prezydenta Miasta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24 lipca 2023 r. i 18 sierpnia 2023 rozpatrywała skargę z dnia 5 lipca 2023 r. złożoną przez panią J.M. na działalność Prezydenta Miasta Bytomia.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zapoznaniu się z dokumentacją skargi oraz wyjaśnieniami. Komisja Skarg, Wniosków i Petycji stwierdza, że skarga pani J.M. na działalność Prezydenta Miasta Bytomia zostaje uznana za bezzasadną.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51922063-B0C9-4222-BCD1-D8AC05DE5D50.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51922063-B0C9-4222-BCD1-D8AC05DE5D50.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LXXXIII/1051/23 z dnia 28 sierpnia 2023 r.</dc:title>
  <dc:subject>w sprawie stanowiska Rady Miejskiej dotyczącego skargi na działalność Prezydenta^Miasta^Bytomia</dc:subject>
  <dc:creator>masocha</dc:creator>
  <cp:lastModifiedBy>masocha</cp:lastModifiedBy>
  <cp:revision>1</cp:revision>
  <dcterms:created xsi:type="dcterms:W3CDTF">2023-08-29T13:14:54Z</dcterms:created>
  <dcterms:modified xsi:type="dcterms:W3CDTF">2023-08-29T13:14:54Z</dcterms:modified>
  <cp:category>Akt prawny</cp:category>
</cp:coreProperties>
</file>