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9.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Uchwała</w:t>
      </w:r>
      <w:r>
        <w:rPr>
          <w:rFonts w:ascii="Times New Roman" w:eastAsia="Times New Roman" w:hAnsi="Times New Roman" w:cs="Times New Roman"/>
          <w:b/>
          <w:caps/>
          <w:sz w:val="22"/>
        </w:rPr>
        <w:t xml:space="preserve"> Nr XXXVIII/534/21</w:t>
      </w:r>
      <w:r>
        <w:rPr>
          <w:rFonts w:ascii="Times New Roman" w:eastAsia="Times New Roman" w:hAnsi="Times New Roman" w:cs="Times New Roman"/>
          <w:b/>
          <w:caps/>
          <w:sz w:val="22"/>
        </w:rPr>
        <w:br/>
      </w:r>
      <w:r>
        <w:rPr>
          <w:rFonts w:ascii="Times New Roman" w:eastAsia="Times New Roman" w:hAnsi="Times New Roman" w:cs="Times New Roman"/>
          <w:b/>
          <w:caps/>
          <w:sz w:val="22"/>
        </w:rPr>
        <w:t>Rady Miejskiej w Bytomiu</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25 stycznia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przyjęcia Miejskiego Programu Zapobiegania Przestępczości oraz Ochrony Bezpieczeństwa Obywateli i Porządku Publicznego w Bytomiu na lata 2021-2023</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pkt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9b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92 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pkt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powiatowym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920) uchwala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Przyjmuje się Miejski Program Zapobiegania Przestępczości oraz Ochrony Bezpieczeństwa Obywateli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Porządku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Bytomiu na lata 2021-2023, stanowiący załącznik do niniejszej uchwały.</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Wykonanie uchwały powierza się Prezydentowi Miasta.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Uchwała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podjęcia.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4930"/>
        <w:gridCol w:w="493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Przewodniczący Rady Miejskiej</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Janas</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rsidR="00A77B3E">
      <w:pPr>
        <w:keepNext/>
        <w:spacing w:before="120" w:after="120" w:line="360" w:lineRule="auto"/>
        <w:ind w:left="5253" w:right="0" w:firstLine="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Załącznik do uchwały Nr XXXVIII/534/21</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Rady Miejskiej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Bytomiu</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z dnia 25</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stycznia 2021</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i w:val="0"/>
          <w:caps w:val="0"/>
          <w:strike w:val="0"/>
          <w:color w:val="auto"/>
          <w:sz w:val="22"/>
          <w:u w:val="none"/>
          <w:vertAlign w:val="baseline"/>
        </w:rPr>
        <w:t>Miejski Program Zapobiegania Przestępczości</w:t>
      </w:r>
      <w:r>
        <w:rPr>
          <w:rFonts w:ascii="Times New Roman" w:eastAsia="Times New Roman" w:hAnsi="Times New Roman" w:cs="Times New Roman"/>
          <w:b/>
          <w:i w:val="0"/>
          <w:caps w:val="0"/>
          <w:strike w:val="0"/>
          <w:color w:val="auto"/>
          <w:sz w:val="22"/>
          <w:u w:val="none"/>
          <w:vertAlign w:val="baseline"/>
        </w:rPr>
        <w:br/>
      </w:r>
      <w:r>
        <w:rPr>
          <w:rFonts w:ascii="Times New Roman" w:eastAsia="Times New Roman" w:hAnsi="Times New Roman" w:cs="Times New Roman"/>
          <w:b/>
          <w:i w:val="0"/>
          <w:caps w:val="0"/>
          <w:strike w:val="0"/>
          <w:color w:val="auto"/>
          <w:sz w:val="22"/>
          <w:u w:val="none"/>
          <w:vertAlign w:val="baseline"/>
        </w:rPr>
        <w:t>oraz Ochrony Bezpieczeństwa Obywateli i</w:t>
      </w:r>
      <w:r>
        <w:rPr>
          <w:rFonts w:ascii="Times New Roman" w:eastAsia="Times New Roman" w:hAnsi="Times New Roman" w:cs="Times New Roman"/>
          <w:b/>
          <w:i w:val="0"/>
          <w:caps w:val="0"/>
          <w:strike w:val="0"/>
          <w:color w:val="auto"/>
          <w:sz w:val="22"/>
          <w:u w:val="none"/>
          <w:vertAlign w:val="baseline"/>
        </w:rPr>
        <w:t> </w:t>
      </w:r>
      <w:r>
        <w:rPr>
          <w:rFonts w:ascii="Times New Roman" w:eastAsia="Times New Roman" w:hAnsi="Times New Roman" w:cs="Times New Roman"/>
          <w:b/>
          <w:i w:val="0"/>
          <w:caps w:val="0"/>
          <w:strike w:val="0"/>
          <w:color w:val="auto"/>
          <w:sz w:val="22"/>
          <w:u w:val="none"/>
          <w:vertAlign w:val="baseline"/>
        </w:rPr>
        <w:t>Porządku Publicznego</w:t>
      </w:r>
      <w:r>
        <w:rPr>
          <w:rFonts w:ascii="Times New Roman" w:eastAsia="Times New Roman" w:hAnsi="Times New Roman" w:cs="Times New Roman"/>
          <w:b/>
          <w:i w:val="0"/>
          <w:caps w:val="0"/>
          <w:strike w:val="0"/>
          <w:color w:val="auto"/>
          <w:sz w:val="22"/>
          <w:u w:val="none"/>
          <w:vertAlign w:val="baseline"/>
        </w:rPr>
        <w:br/>
      </w:r>
      <w:r>
        <w:rPr>
          <w:rFonts w:ascii="Times New Roman" w:eastAsia="Times New Roman" w:hAnsi="Times New Roman" w:cs="Times New Roman"/>
          <w:b/>
          <w:i w:val="0"/>
          <w:caps w:val="0"/>
          <w:strike w:val="0"/>
          <w:color w:val="auto"/>
          <w:sz w:val="22"/>
          <w:u w:val="none"/>
          <w:vertAlign w:val="baseline"/>
        </w:rPr>
        <w:t>w Bytomiu na lata 2021-2023</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Ogólne założenia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Miejski Program Zapobiegania Przestępczości oraz Ochrony Bezpieczeństwa Obywateli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Porządku Publicznego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Bytomiu na lata 2021-2023 jest wynikiem realizacji obowiązku ustawowego zawartego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treści art.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12</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pkt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9b oraz art.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38a ustawy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5</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czerwca 1998</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samorządzie powiatowym tekst jednolity (Dz.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2020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poz.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920).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vertAlign w:val="baseline"/>
        </w:rPr>
        <w:t>Program opiera się na zintegrowanym systemie ochrony bezpieczeństwa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zasadach współpracy poszczególnych partnerów, realizujących zadania na różnych płaszczyznach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obszarach strefy bezpieczeństwa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porządku publicznego. Program będzie funkcjonował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formule ciągłego, kompleksowego, zdecydowanego podejmowania działań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przedsięwzięć mających na celu eliminowanie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ograniczanie negatywnych zjawisk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zachowań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przestrzeni publicznej, które budzą sprzeciw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poczucie zagrożenia. Będzie to program działań zespołowych podejmowanych przez wszystkich uczestników na rzecz poprawy bezpieczeństwa ogólnego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utrzymania ładu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porządku na terenie miasta Bytomia.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auto"/>
          <w:sz w:val="22"/>
          <w:u w:val="none"/>
          <w:vertAlign w:val="baseline"/>
        </w:rPr>
        <w:t>Cel programu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Celem Programu Zapobiegania Przestępczości oraz Ochrony Bezpieczeństwa Obywateli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Porządku Publicznego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Bytomiu na lata 2021-2023 jest odczuwalne podniesienie poziomu bezpieczeństwa – już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okresie jego realizacji. Szczególny nacisk zostanie położony na ten aspekt bezpieczeństwa publicznego, który dotyczy zwalczania przestępczości najbardziej uciążliwej dla mieszkańców miasta Bytomia. Podejmowane również będą inicjatywy mające na celu usuwanie przyczyn zagrożeń. Wymagać to będzie podejmowania, obok działań represyjnych, długofalowych działań profilaktyczno-prewencyjnych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wychowawczych.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vertAlign w:val="baseline"/>
        </w:rPr>
        <w:t>Program przyjmuje założenie, że dla osiągnięcia zakładanych celów niezbędne będzie podniesienie wzrostu świadomości społecznej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zakresie wspólnego działania dla poprawy bezpieczeństwa, przeciwdziałania przestępczości oraz innym zagrożeniom.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auto"/>
          <w:sz w:val="22"/>
          <w:u w:val="none"/>
          <w:vertAlign w:val="baseline"/>
        </w:rPr>
        <w:t>Podmioty zaangażowane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realizację programu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Podmioty zaangażowane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realizację programu: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Wydział Zarządzania Kryzysowego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inne komórki organizacyjne Urzędu Miejskiego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Bytomiu;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vertAlign w:val="baseline"/>
        </w:rPr>
        <w:t>Komenda Miejska Policji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Bytomiu;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vertAlign w:val="baseline"/>
        </w:rPr>
        <w:t>Straż Miejska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Bytomiu;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auto"/>
          <w:sz w:val="22"/>
          <w:u w:val="none"/>
          <w:vertAlign w:val="baseline"/>
        </w:rPr>
        <w:t>Komenda Miejska Państwowej Straży Pożarnej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Bytomiu;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auto"/>
          <w:sz w:val="22"/>
          <w:u w:val="none"/>
          <w:vertAlign w:val="baseline"/>
        </w:rPr>
        <w:t>Ośrodek Interwencji Kryzysowej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Bytomiu;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auto"/>
          <w:sz w:val="22"/>
          <w:u w:val="none"/>
          <w:vertAlign w:val="baseline"/>
        </w:rPr>
        <w:t>Centrum Przeciwdziałania Uzależnieniom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Bytomiu;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auto"/>
          <w:sz w:val="22"/>
          <w:u w:val="none"/>
          <w:vertAlign w:val="baseline"/>
        </w:rPr>
        <w:t>Miejski Zarząd Dróg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Mostów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Bytomiu;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auto"/>
          <w:sz w:val="22"/>
          <w:u w:val="none"/>
          <w:vertAlign w:val="baseline"/>
        </w:rPr>
        <w:t>Zespół Interdyscyplinarny ds. Przeciwdziałania Przemocy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Rodzinie;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auto"/>
          <w:sz w:val="22"/>
          <w:u w:val="none"/>
          <w:vertAlign w:val="baseline"/>
        </w:rPr>
        <w:t>Miejska Komisja Rozwiązywania Problemów Alkoholowych;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auto"/>
          <w:sz w:val="22"/>
          <w:u w:val="none"/>
          <w:vertAlign w:val="baseline"/>
        </w:rPr>
        <w:t>inne podmioty, działające na rzecz poprawy bezpieczeństwa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porządku na terenie miasta.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vertAlign w:val="baseline"/>
        </w:rPr>
        <w:t>Zadania programu koordynuje Prezydent Miasta jako przewodniczący Komisji Bezpieczeństwa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Porządku lub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jego imieniu naczelnik Wydziału Zarządzania Kryzysowego – Pełnomocnik Prezydenta ds.</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Bezpieczeństwa Miasta przy pomocy członków Komisji Bezpieczeństwa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Porządku.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auto"/>
          <w:sz w:val="22"/>
          <w:u w:val="none"/>
          <w:vertAlign w:val="baseline"/>
        </w:rPr>
        <w:t>Struktura organizacyjna programu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Poziom koordynacyjny: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obrady plenarne Komisji Bezpieczeństwa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Porządku;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vertAlign w:val="baseline"/>
        </w:rPr>
        <w:t>posiedzenia Komisji Bezpieczeństwa Ruchu Drogowego;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vertAlign w:val="baseline"/>
        </w:rPr>
        <w:t>posiedzenia Miejskiego Zespołu ds. Koordynacji Działań Zewnętrznych Komendy Miejskiej Policji;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auto"/>
          <w:sz w:val="22"/>
          <w:u w:val="none"/>
          <w:vertAlign w:val="baseline"/>
        </w:rPr>
        <w:t>posiedzenia Zespołu Doradczego ds. Imprez Masowych;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auto"/>
          <w:sz w:val="22"/>
          <w:u w:val="none"/>
          <w:vertAlign w:val="baseline"/>
        </w:rPr>
        <w:t>posiedzenia Powiatowego Zespołu Zarządzania Kryzysowego;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auto"/>
          <w:sz w:val="22"/>
          <w:u w:val="none"/>
          <w:vertAlign w:val="baseline"/>
        </w:rPr>
        <w:t>posiedzenia Komisji Komunalnej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Porządku Publicznego Rady Miejskiej;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auto"/>
          <w:sz w:val="22"/>
          <w:u w:val="none"/>
          <w:vertAlign w:val="baseline"/>
        </w:rPr>
        <w:t>posiedzenia Zespołu Interdyscyplinarnego ds. Przeciwdziałania Przemocy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Rodzinie;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auto"/>
          <w:sz w:val="22"/>
          <w:u w:val="none"/>
          <w:vertAlign w:val="baseline"/>
        </w:rPr>
        <w:t>posiedzenia Miejskiej Komisji Rozwiązywania Problemów Alkoholowych.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vertAlign w:val="baseline"/>
        </w:rPr>
        <w:t>Poziom realizacyjny: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miejskie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państwowe jednostki organizacyjne odpowiedzialne za bezpieczeństwo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porządek publiczny m.in.</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Policja, Straż Miejska, Państwowa Straż Pożarna, jednostki organizacyjne podległe władzom samorządowym, wydziały Urzędu Miejskiego;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vertAlign w:val="baseline"/>
        </w:rPr>
        <w:t>organizacje pozarządowe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inne instytucje niepubliczne m.in.: agencje ochrony mienia, firmy ubezpieczeniowe, ochotnicze straże pożarne;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vertAlign w:val="baseline"/>
        </w:rPr>
        <w:t>środowiska lokalne, m.in.: wspólnoty mieszkaniowe, parafialne, spółdzielnie mieszkaniowe.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vertAlign w:val="baseline"/>
        </w:rPr>
        <w:t>Ocena realizacji zadań kierunkowych, analiza wskaźników satysfakcji oraz zlecanie nowych działań dokonywane będą podczas posiedzeń Komisji Bezpieczeństwa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Porządku przynajmniej raz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roku.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sz w:val="22"/>
        </w:rPr>
        <w:t>§ 5. </w:t>
      </w:r>
      <w:r>
        <w:rPr>
          <w:rFonts w:ascii="Times New Roman" w:eastAsia="Times New Roman" w:hAnsi="Times New Roman" w:cs="Times New Roman"/>
          <w:b w:val="0"/>
          <w:i w:val="0"/>
          <w:caps w:val="0"/>
          <w:strike w:val="0"/>
          <w:color w:val="auto"/>
          <w:sz w:val="22"/>
          <w:u w:val="none"/>
          <w:vertAlign w:val="baseline"/>
        </w:rPr>
        <w:t>Główne kierunki programu</w:t>
      </w:r>
    </w:p>
    <w:p w:rsidR="00A77B3E">
      <w:pPr>
        <w:keepNext w:val="0"/>
        <w:keepLines w:val="0"/>
        <w:spacing w:before="120" w:after="120" w:line="276" w:lineRule="auto"/>
        <w:ind w:left="0" w:right="0" w:firstLine="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W wyniku przeprowadzonej analizy zagrożeń przestępczością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ustalenia potrzeb społecznych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zakresie ochrony bezpieczeństwa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utrzymania porządku na terenie miasta Bytomia określono następujące obszary działania: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poprawa stanu bezpieczeństwa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mieście wzrost poczucia bezpieczeństwa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zaufania do służb porządkowych tj. Policji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Straży Miejskiej wśród mieszkańców miasta Bytom;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vertAlign w:val="baseline"/>
        </w:rPr>
        <w:t>aktywne przeciwdziałanie demoralizacji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przestępczości nieletnich;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vertAlign w:val="baseline"/>
        </w:rPr>
        <w:t>przeciwdziałanie patologiom społecznym tj. alkoholizmowi, narkomanii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przemocy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rodzinie;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auto"/>
          <w:sz w:val="22"/>
          <w:u w:val="none"/>
          <w:vertAlign w:val="baseline"/>
        </w:rPr>
        <w:t>dążenie do poprawy porządku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czystości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mieście;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auto"/>
          <w:sz w:val="22"/>
          <w:u w:val="none"/>
          <w:vertAlign w:val="baseline"/>
        </w:rPr>
        <w:t>dążenie do poprawy bezpieczeństwa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ruchu drogowym;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auto"/>
          <w:sz w:val="22"/>
          <w:u w:val="none"/>
          <w:vertAlign w:val="baseline"/>
        </w:rPr>
        <w:t>prowadzenie działań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zakresie podnoszenia świadomości społecznej dot. ochrony ppoż.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zasad właściwego zachowania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sytuacjach zagrożenia,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tym przygotowań na wypadek zaistnienia sytuacji kryzysowej.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sz w:val="22"/>
        </w:rPr>
        <w:t>§ 6. </w:t>
      </w:r>
      <w:r>
        <w:rPr>
          <w:rFonts w:ascii="Times New Roman" w:eastAsia="Times New Roman" w:hAnsi="Times New Roman" w:cs="Times New Roman"/>
          <w:b w:val="0"/>
          <w:i w:val="0"/>
          <w:caps w:val="0"/>
          <w:strike w:val="0"/>
          <w:color w:val="auto"/>
          <w:sz w:val="22"/>
          <w:u w:val="none"/>
          <w:vertAlign w:val="baseline"/>
        </w:rPr>
        <w:t>Harmonogram realizacji programu.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692"/>
        <w:gridCol w:w="206"/>
        <w:gridCol w:w="1955"/>
        <w:gridCol w:w="411"/>
        <w:gridCol w:w="235"/>
        <w:gridCol w:w="235"/>
        <w:gridCol w:w="3747"/>
        <w:gridCol w:w="367"/>
        <w:gridCol w:w="202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539"/>
        </w:trPr>
        <w:tc>
          <w:tcPr>
            <w:tcW w:w="915" w:type="dxa"/>
            <w:gridSpan w:val="2"/>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auto"/>
                <w:sz w:val="22"/>
                <w:u w:val="none"/>
                <w:vertAlign w:val="baseline"/>
              </w:rPr>
            </w:pPr>
            <w:r>
              <w:t>Poz.</w:t>
            </w:r>
          </w:p>
        </w:tc>
        <w:tc>
          <w:tcPr>
            <w:tcW w:w="2655" w:type="dxa"/>
            <w:gridSpan w:val="3"/>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auto"/>
                <w:sz w:val="22"/>
                <w:u w:val="none"/>
                <w:vertAlign w:val="baseline"/>
              </w:rPr>
            </w:pPr>
            <w:r>
              <w:t>Kierunek działania</w:t>
            </w:r>
          </w:p>
        </w:tc>
        <w:tc>
          <w:tcPr>
            <w:tcW w:w="4065" w:type="dxa"/>
            <w:gridSpan w:val="2"/>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auto"/>
                <w:sz w:val="22"/>
                <w:u w:val="none"/>
                <w:vertAlign w:val="baseline"/>
              </w:rPr>
            </w:pPr>
            <w:r>
              <w:t>Przedsięwzięcie</w:t>
            </w:r>
          </w:p>
        </w:tc>
        <w:tc>
          <w:tcPr>
            <w:tcW w:w="2445" w:type="dxa"/>
            <w:gridSpan w:val="2"/>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auto"/>
                <w:sz w:val="22"/>
                <w:u w:val="none"/>
                <w:vertAlign w:val="baseline"/>
              </w:rPr>
            </w:pPr>
            <w:r>
              <w:t>Koordynator</w:t>
            </w:r>
          </w:p>
        </w:tc>
      </w:tr>
      <w:tr>
        <w:tblPrEx>
          <w:tblW w:w="5000" w:type="pct"/>
          <w:tblLayout w:type="fixed"/>
          <w:tblCellMar>
            <w:left w:w="108" w:type="dxa"/>
            <w:right w:w="108" w:type="dxa"/>
          </w:tblCellMar>
        </w:tblPrEx>
        <w:trPr>
          <w:trHeight w:hRule="auto" w:val="0"/>
        </w:trPr>
        <w:tc>
          <w:tcPr>
            <w:tcW w:w="10080" w:type="dxa"/>
            <w:gridSpan w:val="9"/>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Obszar działania:</w:t>
            </w:r>
          </w:p>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І. Poprawa stanu bezpieczeństwa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mieście, wzrost poczucia bezpieczeństwa</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i zaufania do służb porządkowych tj. Policji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Straży Miejskiej wśród mieszkańców Bytomia.</w:t>
            </w:r>
          </w:p>
        </w:tc>
      </w:tr>
      <w:tr>
        <w:tblPrEx>
          <w:tblW w:w="5000" w:type="pct"/>
          <w:tblLayout w:type="fixed"/>
          <w:tblCellMar>
            <w:left w:w="108" w:type="dxa"/>
            <w:right w:w="108" w:type="dxa"/>
          </w:tblCellMar>
        </w:tblPrEx>
        <w:trPr>
          <w:trHeight w:hRule="auto" w:val="0"/>
        </w:trPr>
        <w:tc>
          <w:tcPr>
            <w:tcW w:w="915" w:type="dxa"/>
            <w:gridSpan w:val="2"/>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І.1</w:t>
            </w:r>
          </w:p>
        </w:tc>
        <w:tc>
          <w:tcPr>
            <w:tcW w:w="2655" w:type="dxa"/>
            <w:gridSpan w:val="3"/>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Analiza zagrożeń.</w:t>
            </w:r>
          </w:p>
        </w:tc>
        <w:tc>
          <w:tcPr>
            <w:tcW w:w="4440" w:type="dxa"/>
            <w:gridSpan w:val="3"/>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1. Sporządzanie analizy zagrożeń w</w:t>
            </w:r>
            <w:r>
              <w:t> </w:t>
            </w:r>
            <w:r>
              <w:t>cyklu miesięcznym.</w:t>
            </w:r>
          </w:p>
          <w:p>
            <w:pPr>
              <w:jc w:val="left"/>
            </w:pPr>
            <w:r>
              <w:t>2. Ocena stanu bezpieczeństwa podczas posiedzeń Zespołu ds. Koordynacji Działań Zewnętrznych.</w:t>
            </w:r>
          </w:p>
          <w:p>
            <w:pPr>
              <w:jc w:val="left"/>
            </w:pPr>
            <w:r>
              <w:t>3. Systematyczne organizowanie spotkań z</w:t>
            </w:r>
            <w:r>
              <w:t> </w:t>
            </w:r>
            <w:r>
              <w:t>mieszkańcami.</w:t>
            </w:r>
          </w:p>
        </w:tc>
        <w:tc>
          <w:tcPr>
            <w:tcW w:w="207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Komenda Miejska Policji</w:t>
            </w:r>
          </w:p>
        </w:tc>
      </w:tr>
      <w:tr>
        <w:tblPrEx>
          <w:tblW w:w="5000" w:type="pct"/>
          <w:tblLayout w:type="fixed"/>
          <w:tblCellMar>
            <w:left w:w="108" w:type="dxa"/>
            <w:right w:w="108" w:type="dxa"/>
          </w:tblCellMar>
        </w:tblPrEx>
        <w:trPr>
          <w:trHeight w:hRule="auto" w:val="0"/>
        </w:trPr>
        <w:tc>
          <w:tcPr>
            <w:tcW w:w="915" w:type="dxa"/>
            <w:gridSpan w:val="2"/>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І.2</w:t>
            </w:r>
          </w:p>
        </w:tc>
        <w:tc>
          <w:tcPr>
            <w:tcW w:w="2655" w:type="dxa"/>
            <w:gridSpan w:val="3"/>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Zwiększenie liczby patroli w miejscach zagrożonych.</w:t>
            </w:r>
          </w:p>
        </w:tc>
        <w:tc>
          <w:tcPr>
            <w:tcW w:w="4440" w:type="dxa"/>
            <w:gridSpan w:val="3"/>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Zakup niezbędnych towarów i</w:t>
            </w:r>
            <w:r>
              <w:t> </w:t>
            </w:r>
            <w:r>
              <w:t>usług na</w:t>
            </w:r>
            <w:r>
              <w:t> </w:t>
            </w:r>
            <w:r>
              <w:t>potrzeby Szkoły Policji w</w:t>
            </w:r>
            <w:r>
              <w:t> </w:t>
            </w:r>
            <w:r>
              <w:t>Katowicach przy realizacji służb patrolowych na terenie Bytomia.</w:t>
            </w:r>
          </w:p>
        </w:tc>
        <w:tc>
          <w:tcPr>
            <w:tcW w:w="207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 xml:space="preserve">Wydział Zarządzania Kryzysowego </w:t>
            </w:r>
          </w:p>
        </w:tc>
      </w:tr>
      <w:tr>
        <w:tblPrEx>
          <w:tblW w:w="5000" w:type="pct"/>
          <w:tblLayout w:type="fixed"/>
          <w:tblCellMar>
            <w:left w:w="108" w:type="dxa"/>
            <w:right w:w="108" w:type="dxa"/>
          </w:tblCellMar>
        </w:tblPrEx>
        <w:trPr>
          <w:trHeight w:hRule="auto" w:val="0"/>
        </w:trPr>
        <w:tc>
          <w:tcPr>
            <w:tcW w:w="915" w:type="dxa"/>
            <w:gridSpan w:val="2"/>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 xml:space="preserve">І.3 </w:t>
            </w:r>
          </w:p>
        </w:tc>
        <w:tc>
          <w:tcPr>
            <w:tcW w:w="2655" w:type="dxa"/>
            <w:gridSpan w:val="3"/>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Ograniczenie liczby przestępstw</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i wykroczeń najbardziej uciążliwych</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dla mieszkańców.</w:t>
            </w:r>
          </w:p>
        </w:tc>
        <w:tc>
          <w:tcPr>
            <w:tcW w:w="4440" w:type="dxa"/>
            <w:gridSpan w:val="3"/>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Ufundowanie nagród przez Prezydenta Miasta dla funkcjonariuszy Policji i</w:t>
            </w:r>
            <w:r>
              <w:t> </w:t>
            </w:r>
            <w:r>
              <w:t>Straży Miejskiej wyróżniających się w</w:t>
            </w:r>
            <w:r>
              <w:t> </w:t>
            </w:r>
            <w:r>
              <w:t>działalności na rzecz poprawy bezpieczeństwa i</w:t>
            </w:r>
            <w:r>
              <w:t> </w:t>
            </w:r>
            <w:r>
              <w:t>porządku publicznego w</w:t>
            </w:r>
            <w:r>
              <w:t> </w:t>
            </w:r>
            <w:r>
              <w:t>mieście.</w:t>
            </w:r>
          </w:p>
        </w:tc>
        <w:tc>
          <w:tcPr>
            <w:tcW w:w="207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 xml:space="preserve">Wydział Zarządzania Kryzysowego </w:t>
            </w:r>
          </w:p>
        </w:tc>
      </w:tr>
      <w:tr>
        <w:tblPrEx>
          <w:tblW w:w="5000" w:type="pct"/>
          <w:tblLayout w:type="fixed"/>
          <w:tblCellMar>
            <w:left w:w="108" w:type="dxa"/>
            <w:right w:w="108" w:type="dxa"/>
          </w:tblCellMar>
        </w:tblPrEx>
        <w:trPr>
          <w:trHeight w:hRule="auto" w:val="0"/>
        </w:trPr>
        <w:tc>
          <w:tcPr>
            <w:tcW w:w="915" w:type="dxa"/>
            <w:gridSpan w:val="2"/>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І.4</w:t>
            </w:r>
          </w:p>
        </w:tc>
        <w:tc>
          <w:tcPr>
            <w:tcW w:w="2655" w:type="dxa"/>
            <w:gridSpan w:val="3"/>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Poprawa bezpieczeństwa i</w:t>
            </w:r>
            <w:r>
              <w:t> </w:t>
            </w:r>
            <w:r>
              <w:t>porządku publicznego w</w:t>
            </w:r>
            <w:r>
              <w:t> </w:t>
            </w:r>
            <w:r>
              <w:t>rejonie lokali gastronomicznych i</w:t>
            </w:r>
            <w:r>
              <w:t> </w:t>
            </w:r>
            <w:r>
              <w:t>punktach sprzedaży napojów alkoholowych.</w:t>
            </w:r>
          </w:p>
        </w:tc>
        <w:tc>
          <w:tcPr>
            <w:tcW w:w="4440" w:type="dxa"/>
            <w:gridSpan w:val="3"/>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1. Systematyczne kontrole lokali gastronomicznych, punktów sprzedaży alkoholi i</w:t>
            </w:r>
            <w:r>
              <w:t> </w:t>
            </w:r>
            <w:r>
              <w:t>ich otoczenia.</w:t>
            </w:r>
          </w:p>
          <w:p>
            <w:pPr>
              <w:jc w:val="left"/>
            </w:pPr>
            <w:r>
              <w:t>2. Bezwzględne karanie osób prowadzących handel bez wymaganych zezwoleń oraz sprzedających napoje alkoholowe w miejscach zabronionych.</w:t>
            </w:r>
          </w:p>
        </w:tc>
        <w:tc>
          <w:tcPr>
            <w:tcW w:w="207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Komenda Miejska Policji,</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Straż Miejska,</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MKRPA</w:t>
            </w:r>
          </w:p>
        </w:tc>
      </w:tr>
      <w:tr>
        <w:tblPrEx>
          <w:tblW w:w="5000" w:type="pct"/>
          <w:tblLayout w:type="fixed"/>
          <w:tblCellMar>
            <w:left w:w="108" w:type="dxa"/>
            <w:right w:w="108" w:type="dxa"/>
          </w:tblCellMar>
        </w:tblPrEx>
        <w:trPr>
          <w:trHeight w:val="1545"/>
        </w:trPr>
        <w:tc>
          <w:tcPr>
            <w:tcW w:w="915" w:type="dxa"/>
            <w:gridSpan w:val="2"/>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І.5</w:t>
            </w:r>
          </w:p>
        </w:tc>
        <w:tc>
          <w:tcPr>
            <w:tcW w:w="2655" w:type="dxa"/>
            <w:gridSpan w:val="3"/>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Poprawa stanu bezpieczeństwa w</w:t>
            </w:r>
            <w:r>
              <w:t> </w:t>
            </w:r>
            <w:r>
              <w:t>miejscach publicznych – system monitoringu wizyjnego miasta.</w:t>
            </w:r>
          </w:p>
        </w:tc>
        <w:tc>
          <w:tcPr>
            <w:tcW w:w="4440" w:type="dxa"/>
            <w:gridSpan w:val="3"/>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Modernizacja i rozbudowa oraz bieżące serwisowanie działającego na terenie miasta systemu monitoringu wizyjnego.</w:t>
            </w:r>
          </w:p>
        </w:tc>
        <w:tc>
          <w:tcPr>
            <w:tcW w:w="207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Referat Transportu Lokalnego</w:t>
            </w:r>
          </w:p>
        </w:tc>
      </w:tr>
      <w:tr>
        <w:tblPrEx>
          <w:tblW w:w="5000" w:type="pct"/>
          <w:tblLayout w:type="fixed"/>
          <w:tblCellMar>
            <w:left w:w="108" w:type="dxa"/>
            <w:right w:w="108" w:type="dxa"/>
          </w:tblCellMar>
        </w:tblPrEx>
        <w:trPr>
          <w:trHeight w:hRule="auto" w:val="0"/>
        </w:trPr>
        <w:tc>
          <w:tcPr>
            <w:tcW w:w="915" w:type="dxa"/>
            <w:gridSpan w:val="2"/>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I.6</w:t>
            </w:r>
          </w:p>
        </w:tc>
        <w:tc>
          <w:tcPr>
            <w:tcW w:w="2655" w:type="dxa"/>
            <w:gridSpan w:val="3"/>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Dążenie do podniesienia rangi dzielnicowego.</w:t>
            </w:r>
          </w:p>
        </w:tc>
        <w:tc>
          <w:tcPr>
            <w:tcW w:w="4440" w:type="dxa"/>
            <w:gridSpan w:val="3"/>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1. Coroczne organizowanie konkursu „Najlepszy dzielnicowy”.</w:t>
            </w:r>
          </w:p>
          <w:p>
            <w:pPr>
              <w:jc w:val="left"/>
            </w:pPr>
            <w:r>
              <w:t>2. Realizacja koncepcji „Dzielnicowy bliżej nas”.</w:t>
            </w:r>
          </w:p>
        </w:tc>
        <w:tc>
          <w:tcPr>
            <w:tcW w:w="207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Komenda Miejska Policji</w:t>
            </w:r>
          </w:p>
        </w:tc>
      </w:tr>
      <w:tr>
        <w:tblPrEx>
          <w:tblW w:w="5000" w:type="pct"/>
          <w:tblLayout w:type="fixed"/>
          <w:tblCellMar>
            <w:left w:w="108" w:type="dxa"/>
            <w:right w:w="108" w:type="dxa"/>
          </w:tblCellMar>
        </w:tblPrEx>
        <w:trPr>
          <w:trHeight w:val="855"/>
        </w:trPr>
        <w:tc>
          <w:tcPr>
            <w:tcW w:w="915" w:type="dxa"/>
            <w:gridSpan w:val="2"/>
            <w:vMerge w:val="restart"/>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I.7</w:t>
            </w:r>
          </w:p>
        </w:tc>
        <w:tc>
          <w:tcPr>
            <w:tcW w:w="2655" w:type="dxa"/>
            <w:gridSpan w:val="3"/>
            <w:vMerge w:val="restart"/>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Stałe podnoszenie stanu zaufania do Policji i</w:t>
            </w:r>
            <w:r>
              <w:t> </w:t>
            </w:r>
            <w:r>
              <w:t>Straży Miejskiej.</w:t>
            </w:r>
          </w:p>
        </w:tc>
        <w:tc>
          <w:tcPr>
            <w:tcW w:w="4440" w:type="dxa"/>
            <w:gridSpan w:val="3"/>
            <w:vMerge w:val="restart"/>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1. Systematyczne skracanie czasu reakcji na</w:t>
            </w:r>
            <w:r>
              <w:t> </w:t>
            </w:r>
            <w:r>
              <w:t>zgłaszane przez mieszkańców zdarzenia.</w:t>
            </w:r>
          </w:p>
          <w:p>
            <w:pPr>
              <w:jc w:val="left"/>
            </w:pPr>
            <w:r>
              <w:t>2. Podejmowanie działań na rzecz kompetentnej obsługi interesantów.</w:t>
            </w:r>
          </w:p>
          <w:p>
            <w:pPr>
              <w:jc w:val="left"/>
            </w:pPr>
            <w:r>
              <w:t>3.Promowanie aplikacji KMZB i Moja Komenda.</w:t>
            </w:r>
          </w:p>
          <w:p>
            <w:pPr>
              <w:jc w:val="left"/>
            </w:pPr>
            <w:r>
              <w:t>4. Profesjonalne prezentowanie efektów pracy Policji i Straży Miejskiej.</w:t>
            </w:r>
          </w:p>
        </w:tc>
        <w:tc>
          <w:tcPr>
            <w:tcW w:w="207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Komenda Miejska Policji</w:t>
            </w:r>
          </w:p>
        </w:tc>
      </w:tr>
      <w:tr>
        <w:tblPrEx>
          <w:tblW w:w="5000" w:type="pct"/>
          <w:tblLayout w:type="fixed"/>
          <w:tblCellMar>
            <w:left w:w="108" w:type="dxa"/>
            <w:right w:w="108" w:type="dxa"/>
          </w:tblCellMar>
        </w:tblPrEx>
        <w:trPr>
          <w:trHeight w:val="772"/>
        </w:trPr>
        <w:tc>
          <w:tcPr>
            <w:tcW w:w="915" w:type="dxa"/>
            <w:gridSpan w:val="2"/>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2655" w:type="dxa"/>
            <w:gridSpan w:val="3"/>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4440" w:type="dxa"/>
            <w:gridSpan w:val="3"/>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207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Komenda Miejska Policji</w:t>
            </w:r>
          </w:p>
        </w:tc>
      </w:tr>
      <w:tr>
        <w:tblPrEx>
          <w:tblW w:w="5000" w:type="pct"/>
          <w:tblLayout w:type="fixed"/>
          <w:tblCellMar>
            <w:left w:w="108" w:type="dxa"/>
            <w:right w:w="108" w:type="dxa"/>
          </w:tblCellMar>
        </w:tblPrEx>
        <w:trPr>
          <w:trHeight w:val="855"/>
        </w:trPr>
        <w:tc>
          <w:tcPr>
            <w:tcW w:w="915" w:type="dxa"/>
            <w:gridSpan w:val="2"/>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2655" w:type="dxa"/>
            <w:gridSpan w:val="3"/>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4440" w:type="dxa"/>
            <w:gridSpan w:val="3"/>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207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Komenda Miejska Policji,</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Straż Miejska</w:t>
            </w:r>
          </w:p>
        </w:tc>
      </w:tr>
      <w:tr>
        <w:tblPrEx>
          <w:tblW w:w="5000" w:type="pct"/>
          <w:tblLayout w:type="fixed"/>
          <w:tblCellMar>
            <w:left w:w="108" w:type="dxa"/>
            <w:right w:w="108" w:type="dxa"/>
          </w:tblCellMar>
        </w:tblPrEx>
        <w:trPr>
          <w:trHeight w:val="964"/>
        </w:trPr>
        <w:tc>
          <w:tcPr>
            <w:tcW w:w="915" w:type="dxa"/>
            <w:gridSpan w:val="2"/>
            <w:vMerge w:val="restart"/>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I.8</w:t>
            </w:r>
          </w:p>
        </w:tc>
        <w:tc>
          <w:tcPr>
            <w:tcW w:w="2655" w:type="dxa"/>
            <w:gridSpan w:val="3"/>
            <w:vMerge w:val="restart"/>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Motywowanie społeczeństwa w</w:t>
            </w:r>
            <w:r>
              <w:t> </w:t>
            </w:r>
            <w:r>
              <w:t>podejmowaniu działań na rzecz bezpieczeństwa.</w:t>
            </w:r>
          </w:p>
        </w:tc>
        <w:tc>
          <w:tcPr>
            <w:tcW w:w="4440" w:type="dxa"/>
            <w:gridSpan w:val="3"/>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1. Organizowanie cyklicznych spotkań i</w:t>
            </w:r>
            <w:r>
              <w:t> </w:t>
            </w:r>
            <w:r>
              <w:t>debat.</w:t>
            </w:r>
          </w:p>
        </w:tc>
        <w:tc>
          <w:tcPr>
            <w:tcW w:w="207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Kancelaria Prezydenta Miasta,</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Komenda Miejska Policji</w:t>
            </w:r>
          </w:p>
        </w:tc>
      </w:tr>
      <w:tr>
        <w:tblPrEx>
          <w:tblW w:w="5000" w:type="pct"/>
          <w:tblLayout w:type="fixed"/>
          <w:tblCellMar>
            <w:left w:w="108" w:type="dxa"/>
            <w:right w:w="108" w:type="dxa"/>
          </w:tblCellMar>
        </w:tblPrEx>
        <w:trPr>
          <w:trHeight w:val="1222"/>
        </w:trPr>
        <w:tc>
          <w:tcPr>
            <w:tcW w:w="915" w:type="dxa"/>
            <w:gridSpan w:val="2"/>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2655" w:type="dxa"/>
            <w:gridSpan w:val="3"/>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4440" w:type="dxa"/>
            <w:gridSpan w:val="3"/>
            <w:tcBorders>
              <w:top w:val="single" w:sz="4" w:space="0" w:color="auto"/>
              <w:left w:val="single" w:sz="4" w:space="0" w:color="auto"/>
              <w:bottom w:val="nil"/>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2. Realizacja programów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kampanii profilaktycznych takich jak m.in.:</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”Razem bezpieczniej”, „Kręci mnie bezpieczeństwo”, „Bezpieczny senior”.</w:t>
            </w:r>
          </w:p>
        </w:tc>
        <w:tc>
          <w:tcPr>
            <w:tcW w:w="2070"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Komenda Miejska Policji</w:t>
            </w:r>
          </w:p>
        </w:tc>
      </w:tr>
      <w:tr>
        <w:tblPrEx>
          <w:tblW w:w="5000" w:type="pct"/>
          <w:tblLayout w:type="fixed"/>
          <w:tblCellMar>
            <w:left w:w="108" w:type="dxa"/>
            <w:right w:w="108" w:type="dxa"/>
          </w:tblCellMar>
        </w:tblPrEx>
        <w:trPr>
          <w:trHeight w:hRule="auto" w:val="0"/>
        </w:trPr>
        <w:tc>
          <w:tcPr>
            <w:tcW w:w="10080" w:type="dxa"/>
            <w:gridSpan w:val="9"/>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Wskaźniki satysfakcji:</w:t>
            </w:r>
          </w:p>
          <w:p>
            <w:pPr>
              <w:jc w:val="left"/>
            </w:pPr>
            <w:r>
              <w:t>1)</w:t>
            </w:r>
            <w:r>
              <w:t> </w:t>
            </w:r>
            <w:r>
              <w:t>utrzymanie dynamiki przestępstw najbardziej uciążliwych dla mieszkańców w poszczególnych latach realizacji programu poniżej 100%;</w:t>
            </w:r>
          </w:p>
          <w:p>
            <w:pPr>
              <w:jc w:val="left"/>
            </w:pPr>
            <w:r>
              <w:t>1)</w:t>
            </w:r>
            <w:r>
              <w:t> </w:t>
            </w:r>
            <w:r>
              <w:t>utrzymanie tendencji wzrostowej w</w:t>
            </w:r>
            <w:r>
              <w:t> </w:t>
            </w:r>
            <w:r>
              <w:t>zakresie poczucia bezpieczeństwa wśród mieszkańców miasta Bytomia.</w:t>
            </w:r>
          </w:p>
          <w:p>
            <w:pPr>
              <w:jc w:val="left"/>
            </w:pPr>
            <w:r>
              <w:t>Podmiot wiodący: Komenda Miejska Policji</w:t>
            </w:r>
          </w:p>
        </w:tc>
      </w:tr>
      <w:tr>
        <w:tblPrEx>
          <w:tblW w:w="5000" w:type="pct"/>
          <w:tblLayout w:type="fixed"/>
          <w:tblCellMar>
            <w:left w:w="108" w:type="dxa"/>
            <w:right w:w="108" w:type="dxa"/>
          </w:tblCellMar>
        </w:tblPrEx>
        <w:trPr>
          <w:trHeight w:hRule="auto" w:val="0"/>
        </w:trPr>
        <w:tc>
          <w:tcPr>
            <w:tcW w:w="10080" w:type="dxa"/>
            <w:gridSpan w:val="9"/>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Obszar działania :</w:t>
            </w:r>
          </w:p>
          <w:p>
            <w:pPr>
              <w:jc w:val="left"/>
            </w:pPr>
            <w:r>
              <w:t>II. Aktywne przeciwdziałanie demoralizacji i przestępczości nieletnich.</w:t>
            </w:r>
          </w:p>
        </w:tc>
      </w:tr>
      <w:tr>
        <w:tblPrEx>
          <w:tblW w:w="5000" w:type="pct"/>
          <w:tblLayout w:type="fixed"/>
          <w:tblCellMar>
            <w:left w:w="108" w:type="dxa"/>
            <w:right w:w="108" w:type="dxa"/>
          </w:tblCellMar>
        </w:tblPrEx>
        <w:trPr>
          <w:trHeight w:val="2025"/>
        </w:trPr>
        <w:tc>
          <w:tcPr>
            <w:tcW w:w="915" w:type="dxa"/>
            <w:gridSpan w:val="2"/>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II.1</w:t>
            </w:r>
          </w:p>
        </w:tc>
        <w:tc>
          <w:tcPr>
            <w:tcW w:w="2415" w:type="dxa"/>
            <w:gridSpan w:val="2"/>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Ograniczenie przestępczości nieletnich.</w:t>
            </w:r>
          </w:p>
        </w:tc>
        <w:tc>
          <w:tcPr>
            <w:tcW w:w="4305" w:type="dxa"/>
            <w:gridSpan w:val="3"/>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1. Bieżące kontynuowanie współpracy Policji i Straży Miejskiej z</w:t>
            </w:r>
            <w:r>
              <w:t> </w:t>
            </w:r>
            <w:r>
              <w:t>bytomskimi szkołami w</w:t>
            </w:r>
            <w:r>
              <w:t> </w:t>
            </w:r>
            <w:r>
              <w:t>zakresie wymiany informacji na terenie szkół.</w:t>
            </w:r>
          </w:p>
          <w:p>
            <w:pPr>
              <w:jc w:val="left"/>
            </w:pPr>
            <w:r>
              <w:t>2. Systematyczne organizowanie spotkań, prelekcji i</w:t>
            </w:r>
            <w:r>
              <w:t> </w:t>
            </w:r>
            <w:r>
              <w:t>pogadanek w</w:t>
            </w:r>
            <w:r>
              <w:t> </w:t>
            </w:r>
            <w:r>
              <w:t>bytomskich placówkach oświatowych.</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Komenda Miejska Policji,</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Straż Miejska</w:t>
            </w:r>
          </w:p>
        </w:tc>
      </w:tr>
      <w:tr>
        <w:tblPrEx>
          <w:tblW w:w="5000" w:type="pct"/>
          <w:tblLayout w:type="fixed"/>
          <w:tblCellMar>
            <w:left w:w="108" w:type="dxa"/>
            <w:right w:w="108" w:type="dxa"/>
          </w:tblCellMar>
        </w:tblPrEx>
        <w:trPr>
          <w:trHeight w:val="1590"/>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24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4305" w:type="dxa"/>
            <w:gridSpan w:val="3"/>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3. Analizowanie na bieżąco przyczyn niedostosowania społecznego wśród dzieci i</w:t>
            </w:r>
            <w:r>
              <w:t> </w:t>
            </w:r>
            <w:r>
              <w:t>młodzieży szkolnej.</w:t>
            </w:r>
          </w:p>
          <w:p>
            <w:pPr>
              <w:jc w:val="left"/>
            </w:pPr>
            <w:r>
              <w:t>4. Bieżące kontrole realizacji obowiązku szkolnego i</w:t>
            </w:r>
            <w:r>
              <w:t> </w:t>
            </w:r>
            <w:r>
              <w:t>obowiązku nauki.</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Wydział Edukacji</w:t>
            </w:r>
          </w:p>
        </w:tc>
      </w:tr>
      <w:tr>
        <w:tblPrEx>
          <w:tblW w:w="5000" w:type="pct"/>
          <w:tblLayout w:type="fixed"/>
          <w:tblCellMar>
            <w:left w:w="108" w:type="dxa"/>
            <w:right w:w="108" w:type="dxa"/>
          </w:tblCellMar>
        </w:tblPrEx>
        <w:trPr>
          <w:trHeight w:val="1755"/>
        </w:trPr>
        <w:tc>
          <w:tcPr>
            <w:tcW w:w="915" w:type="dxa"/>
            <w:gridSpan w:val="2"/>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II.2</w:t>
            </w:r>
          </w:p>
        </w:tc>
        <w:tc>
          <w:tcPr>
            <w:tcW w:w="2415" w:type="dxa"/>
            <w:gridSpan w:val="2"/>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Podniesienie bezpieczeństwa dzieci i</w:t>
            </w:r>
            <w:r>
              <w:t> </w:t>
            </w:r>
            <w:r>
              <w:t>młodzieży w</w:t>
            </w:r>
            <w:r>
              <w:t> </w:t>
            </w:r>
            <w:r>
              <w:t>szkołach i</w:t>
            </w:r>
            <w:r>
              <w:t> </w:t>
            </w:r>
            <w:r>
              <w:t>ich</w:t>
            </w:r>
            <w:r>
              <w:t> </w:t>
            </w:r>
            <w:r>
              <w:t>okolicy.</w:t>
            </w:r>
          </w:p>
        </w:tc>
        <w:tc>
          <w:tcPr>
            <w:tcW w:w="4305" w:type="dxa"/>
            <w:gridSpan w:val="3"/>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1. Kontynuowanie ścisłej współpracy pomiędzy nauczycielami, rodzicami, uczniami, Policją, Strażą Miejską oraz innymi instytucjami i</w:t>
            </w:r>
            <w:r>
              <w:t> </w:t>
            </w:r>
            <w:r>
              <w:t>organizacjami społecznymi w zakresie kształtowania bezpiecznych zachowań dzieci i</w:t>
            </w:r>
            <w:r>
              <w:t> </w:t>
            </w:r>
            <w:r>
              <w:t>młodzieży.</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Wydział Edukacji</w:t>
            </w:r>
          </w:p>
        </w:tc>
      </w:tr>
      <w:tr>
        <w:tblPrEx>
          <w:tblW w:w="5000" w:type="pct"/>
          <w:tblLayout w:type="fixed"/>
          <w:tblCellMar>
            <w:left w:w="108" w:type="dxa"/>
            <w:right w:w="108" w:type="dxa"/>
          </w:tblCellMar>
        </w:tblPrEx>
        <w:trPr>
          <w:trHeight w:val="810"/>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24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4305" w:type="dxa"/>
            <w:gridSpan w:val="3"/>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2. Kontynuowanie corocznych akcji „Bezpieczne Ferie”, „Bezpieczne Wakacje”.</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Komenda Miejska Policji</w:t>
            </w:r>
          </w:p>
        </w:tc>
      </w:tr>
      <w:tr>
        <w:tblPrEx>
          <w:tblW w:w="5000" w:type="pct"/>
          <w:tblLayout w:type="fixed"/>
          <w:tblCellMar>
            <w:left w:w="108" w:type="dxa"/>
            <w:right w:w="108" w:type="dxa"/>
          </w:tblCellMar>
        </w:tblPrEx>
        <w:trPr>
          <w:trHeight w:val="1650"/>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24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4305" w:type="dxa"/>
            <w:gridSpan w:val="3"/>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3. Kontynuowanie corocznych spektakli profilaktyczno – edukacyjnych dla bytomskich pierwszoklasistów propagujących bezpieczną drogę do szkoły i</w:t>
            </w:r>
            <w:r>
              <w:t> </w:t>
            </w:r>
            <w:r>
              <w:t>bezpiecznego spędzania ferii i wakacji.</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Wydział Zarządzania Kryzysowego,</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Komenda Miejska Policji</w:t>
            </w:r>
          </w:p>
        </w:tc>
      </w:tr>
      <w:tr>
        <w:tblPrEx>
          <w:tblW w:w="5000" w:type="pct"/>
          <w:tblLayout w:type="fixed"/>
          <w:tblCellMar>
            <w:left w:w="108" w:type="dxa"/>
            <w:right w:w="108" w:type="dxa"/>
          </w:tblCellMar>
        </w:tblPrEx>
        <w:trPr>
          <w:trHeight w:val="1725"/>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24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4305" w:type="dxa"/>
            <w:gridSpan w:val="3"/>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4. Kontynuacja dotychczasowych programów profilaktycznych prowadzonych przez Policję, Straż Miejską i</w:t>
            </w:r>
            <w:r>
              <w:t> </w:t>
            </w:r>
            <w:r>
              <w:t>placówki oświatowe oraz wdrażanie nowych autorskich programów profilaktycznych zgodnie z zapotrzebowaniem na terenie bytomskich szkół.</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Komenda Miejska Policji,</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Straż Miejska</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Wydział Edukacji</w:t>
            </w:r>
          </w:p>
        </w:tc>
      </w:tr>
      <w:tr>
        <w:tblPrEx>
          <w:tblW w:w="5000" w:type="pct"/>
          <w:tblLayout w:type="fixed"/>
          <w:tblCellMar>
            <w:left w:w="108" w:type="dxa"/>
            <w:right w:w="108" w:type="dxa"/>
          </w:tblCellMar>
        </w:tblPrEx>
        <w:trPr>
          <w:trHeight w:val="1545"/>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24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4305" w:type="dxa"/>
            <w:gridSpan w:val="3"/>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5. Zakup materiałów edukacyjnych na</w:t>
            </w:r>
            <w:r>
              <w:t> </w:t>
            </w:r>
            <w:r>
              <w:t>potrzeby programów profilaktycznych.</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Komenda Miejska Policji,</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Straż Miejska,</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Wydział Edukacji, Wydział Zarządzania Kryzysowego</w:t>
            </w:r>
          </w:p>
        </w:tc>
      </w:tr>
      <w:tr>
        <w:tblPrEx>
          <w:tblW w:w="5000" w:type="pct"/>
          <w:tblLayout w:type="fixed"/>
          <w:tblCellMar>
            <w:left w:w="108" w:type="dxa"/>
            <w:right w:w="108" w:type="dxa"/>
          </w:tblCellMar>
        </w:tblPrEx>
        <w:trPr>
          <w:trHeight w:hRule="auto" w:val="0"/>
        </w:trPr>
        <w:tc>
          <w:tcPr>
            <w:tcW w:w="10080" w:type="dxa"/>
            <w:gridSpan w:val="9"/>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Wskaźniki satysfakcji:</w:t>
            </w:r>
          </w:p>
          <w:p>
            <w:pPr>
              <w:jc w:val="left"/>
            </w:pPr>
            <w:r>
              <w:t> </w:t>
            </w:r>
            <w:r>
              <w:t>1)</w:t>
            </w:r>
            <w:r>
              <w:t> </w:t>
            </w:r>
            <w:r>
              <w:t>utrzymanie dynamiki ujawnionych czynów karalnych w poszczególnych latach realizacji programu poniżej 100%;</w:t>
            </w:r>
          </w:p>
          <w:p>
            <w:pPr>
              <w:jc w:val="left"/>
            </w:pPr>
            <w:r>
              <w:t>2)</w:t>
            </w:r>
            <w:r>
              <w:t> </w:t>
            </w:r>
            <w:r>
              <w:t>utrzymanie tendencji wzrostowej w zakresie stanu poczucia bezpieczeństwa na terenie szkoły i poza nią wśród dzieci i młodzieży szkolnej.</w:t>
            </w:r>
          </w:p>
          <w:p>
            <w:pPr>
              <w:jc w:val="left"/>
            </w:pPr>
            <w:r>
              <w:t>Podmiot wiodący: Wydział Edukacji</w:t>
            </w:r>
          </w:p>
        </w:tc>
      </w:tr>
      <w:tr>
        <w:tblPrEx>
          <w:tblW w:w="5000" w:type="pct"/>
          <w:tblLayout w:type="fixed"/>
          <w:tblCellMar>
            <w:left w:w="108" w:type="dxa"/>
            <w:right w:w="108" w:type="dxa"/>
          </w:tblCellMar>
        </w:tblPrEx>
        <w:trPr>
          <w:trHeight w:hRule="auto" w:val="0"/>
        </w:trPr>
        <w:tc>
          <w:tcPr>
            <w:tcW w:w="10080" w:type="dxa"/>
            <w:gridSpan w:val="9"/>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Obszar działania:</w:t>
            </w:r>
          </w:p>
          <w:p>
            <w:pPr>
              <w:jc w:val="left"/>
            </w:pPr>
            <w:r>
              <w:t>ІІІ. Przeciwdziałanie patologiom społecznym tj. alkoholizmowi, narkomanii i przemocy domowej.</w:t>
            </w:r>
          </w:p>
        </w:tc>
      </w:tr>
      <w:tr>
        <w:tblPrEx>
          <w:tblW w:w="5000" w:type="pct"/>
          <w:tblLayout w:type="fixed"/>
          <w:tblCellMar>
            <w:left w:w="108" w:type="dxa"/>
            <w:right w:w="108" w:type="dxa"/>
          </w:tblCellMar>
        </w:tblPrEx>
        <w:trPr>
          <w:trHeight w:val="2355"/>
        </w:trPr>
        <w:tc>
          <w:tcPr>
            <w:tcW w:w="915" w:type="dxa"/>
            <w:gridSpan w:val="2"/>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ІІІ.1</w:t>
            </w:r>
          </w:p>
        </w:tc>
        <w:tc>
          <w:tcPr>
            <w:tcW w:w="1995" w:type="dxa"/>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Przeciwdziałanie alkoholizmowi.</w:t>
            </w:r>
          </w:p>
        </w:tc>
        <w:tc>
          <w:tcPr>
            <w:tcW w:w="472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1. Kontynuowanie współpracy partnerów programu na rzecz przeciwdziałania alkoholizmowi w</w:t>
            </w:r>
            <w:r>
              <w:t> </w:t>
            </w:r>
            <w:r>
              <w:t>ramach realizacji zadań wynikających z</w:t>
            </w:r>
            <w:r>
              <w:t> </w:t>
            </w:r>
            <w:r>
              <w:t>ustawy o</w:t>
            </w:r>
            <w:r>
              <w:t> </w:t>
            </w:r>
            <w:r>
              <w:t>wychowaniu w</w:t>
            </w:r>
            <w:r>
              <w:t> </w:t>
            </w:r>
            <w:r>
              <w:t>trzeźwości i</w:t>
            </w:r>
            <w:r>
              <w:t> </w:t>
            </w:r>
            <w:r>
              <w:t>przeciwdziałaniu alkoholizmowi.</w:t>
            </w:r>
          </w:p>
          <w:p>
            <w:pPr>
              <w:jc w:val="left"/>
            </w:pPr>
            <w:r>
              <w:t>2. Kontynuowanie działalności profilaktycznych w</w:t>
            </w:r>
            <w:r>
              <w:t> </w:t>
            </w:r>
            <w:r>
              <w:t>bytomskich szkołach w</w:t>
            </w:r>
            <w:r>
              <w:t> </w:t>
            </w:r>
            <w:r>
              <w:t>zakresie przeciwdziałania alkoholizmowi.</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Centrum Przeciwdziałania Uzależnieniom,</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Komenda Miejska Policji,</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Straż Miejska</w:t>
            </w:r>
          </w:p>
        </w:tc>
      </w:tr>
      <w:tr>
        <w:tblPrEx>
          <w:tblW w:w="5000" w:type="pct"/>
          <w:tblLayout w:type="fixed"/>
          <w:tblCellMar>
            <w:left w:w="108" w:type="dxa"/>
            <w:right w:w="108" w:type="dxa"/>
          </w:tblCellMar>
        </w:tblPrEx>
        <w:trPr>
          <w:trHeight w:val="2940"/>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1995" w:type="dxa"/>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472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3. Podejmowanie właściwych działań represyjno-prewencyjnych przez Policję i</w:t>
            </w:r>
            <w:r>
              <w:t> </w:t>
            </w:r>
            <w:r>
              <w:t>Straż Miejską wobec osób spożywających alkohol w</w:t>
            </w:r>
            <w:r>
              <w:t> </w:t>
            </w:r>
            <w:r>
              <w:t>miejscach zabronionych.</w:t>
            </w:r>
          </w:p>
          <w:p>
            <w:pPr>
              <w:jc w:val="left"/>
            </w:pPr>
            <w:r>
              <w:t>4. Utrzymanie stałego kontaktu z</w:t>
            </w:r>
            <w:r>
              <w:t> </w:t>
            </w:r>
            <w:r>
              <w:t>pedagogami szkolnymi i</w:t>
            </w:r>
            <w:r>
              <w:t> </w:t>
            </w:r>
            <w:r>
              <w:t>dyrektorami szkół w</w:t>
            </w:r>
            <w:r>
              <w:t> </w:t>
            </w:r>
            <w:r>
              <w:t>celu bieżącego monitorowania zachowań uczniów pod kątem spożycia alkoholu.</w:t>
            </w:r>
          </w:p>
          <w:p>
            <w:pPr>
              <w:jc w:val="left"/>
            </w:pPr>
            <w:r>
              <w:t>5. Ścisła współpraca z</w:t>
            </w:r>
            <w:r>
              <w:t> </w:t>
            </w:r>
            <w:r>
              <w:t>Miejską Komisją ds.</w:t>
            </w:r>
            <w:r>
              <w:t> </w:t>
            </w:r>
            <w:r>
              <w:t>Rozwiązywania Problemów Alkoholowych.</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Komenda Miejska Policji,</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Straż Miejska</w:t>
            </w:r>
          </w:p>
        </w:tc>
      </w:tr>
      <w:tr>
        <w:tblPrEx>
          <w:tblW w:w="5000" w:type="pct"/>
          <w:tblLayout w:type="fixed"/>
          <w:tblCellMar>
            <w:left w:w="108" w:type="dxa"/>
            <w:right w:w="108" w:type="dxa"/>
          </w:tblCellMar>
        </w:tblPrEx>
        <w:trPr>
          <w:trHeight w:val="915"/>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1995" w:type="dxa"/>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472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6. Monitorowanie wydanych zezwoleń na</w:t>
            </w:r>
            <w:r>
              <w:t> </w:t>
            </w:r>
            <w:r>
              <w:t>sprzedaż alkoholu zgodnie z uchwałą RM w</w:t>
            </w:r>
            <w:r>
              <w:t> </w:t>
            </w:r>
            <w:r>
              <w:t>tym zakresie.</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Referat Działalności</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Gospodarczej</w:t>
            </w:r>
          </w:p>
        </w:tc>
      </w:tr>
      <w:tr>
        <w:tblPrEx>
          <w:tblW w:w="5000" w:type="pct"/>
          <w:tblLayout w:type="fixed"/>
          <w:tblCellMar>
            <w:left w:w="108" w:type="dxa"/>
            <w:right w:w="108" w:type="dxa"/>
          </w:tblCellMar>
        </w:tblPrEx>
        <w:trPr>
          <w:trHeight w:val="1500"/>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1995" w:type="dxa"/>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472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7. Prowadzenie rozmów motywujących z</w:t>
            </w:r>
            <w:r>
              <w:t> </w:t>
            </w:r>
            <w:r>
              <w:t>osobami opuszczającymi Izbę Wytrzeźwień.</w:t>
            </w:r>
          </w:p>
          <w:p>
            <w:pPr>
              <w:jc w:val="left"/>
            </w:pPr>
            <w:r>
              <w:t>8. Prowadzenie konsultacji i</w:t>
            </w:r>
            <w:r>
              <w:t> </w:t>
            </w:r>
            <w:r>
              <w:t>terapii grupowej dla osób uzależnionych od alkoholu.</w:t>
            </w:r>
          </w:p>
          <w:p>
            <w:pPr>
              <w:jc w:val="left"/>
            </w:pPr>
            <w:r>
              <w:t>9. Prowadzenie szkoleń dla grup zawodowych w</w:t>
            </w:r>
            <w:r>
              <w:t> </w:t>
            </w:r>
            <w:r>
              <w:t>zakresie profilaktyki uzależnienia od</w:t>
            </w:r>
            <w:r>
              <w:t> </w:t>
            </w:r>
            <w:r>
              <w:t>alkoholi, skutecznych oddziaływań.</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Centrum Przeciwdziałania Uzależnieniom</w:t>
            </w:r>
          </w:p>
        </w:tc>
      </w:tr>
      <w:tr>
        <w:tblPrEx>
          <w:tblW w:w="5000" w:type="pct"/>
          <w:tblLayout w:type="fixed"/>
          <w:tblCellMar>
            <w:left w:w="108" w:type="dxa"/>
            <w:right w:w="108" w:type="dxa"/>
          </w:tblCellMar>
        </w:tblPrEx>
        <w:trPr>
          <w:trHeight w:val="955"/>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1995" w:type="dxa"/>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472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10. Prowadzenie zajęć profilaktycznych skierowanych do osób bezdomnych przebywających w noclegowni.</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Miejski Ośrodek Pomocy Rodzinie</w:t>
            </w:r>
          </w:p>
        </w:tc>
      </w:tr>
      <w:tr>
        <w:tblPrEx>
          <w:tblW w:w="5000" w:type="pct"/>
          <w:tblLayout w:type="fixed"/>
          <w:tblCellMar>
            <w:left w:w="108" w:type="dxa"/>
            <w:right w:w="108" w:type="dxa"/>
          </w:tblCellMar>
        </w:tblPrEx>
        <w:trPr>
          <w:trHeight w:val="840"/>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1995" w:type="dxa"/>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472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11. Prowadzenie pogadanek skierowanych do</w:t>
            </w:r>
            <w:r>
              <w:t> </w:t>
            </w:r>
            <w:r>
              <w:t>dzieci i</w:t>
            </w:r>
            <w:r>
              <w:t> </w:t>
            </w:r>
            <w:r>
              <w:t>młodzieży o</w:t>
            </w:r>
            <w:r>
              <w:t> </w:t>
            </w:r>
            <w:r>
              <w:t>konsekwencjach prawnych spożywania alkoholu w miejscach zabronionych.</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Komenda Miejska Policji</w:t>
            </w:r>
          </w:p>
        </w:tc>
      </w:tr>
      <w:tr>
        <w:tblPrEx>
          <w:tblW w:w="5000" w:type="pct"/>
          <w:tblLayout w:type="fixed"/>
          <w:tblCellMar>
            <w:left w:w="108" w:type="dxa"/>
            <w:right w:w="108" w:type="dxa"/>
          </w:tblCellMar>
        </w:tblPrEx>
        <w:trPr>
          <w:trHeight w:val="2100"/>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1995" w:type="dxa"/>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472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12. Bieżąca praca z</w:t>
            </w:r>
            <w:r>
              <w:t> </w:t>
            </w:r>
            <w:r>
              <w:t>rodzicami osób uzależnionych od alkoholu w ramach terapii współuzależnienia.</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Centrum Przeciwdziałania Uzależnieniom,</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Miejska Komisja Rozwiązywania Problemów Alkoholowych</w:t>
            </w:r>
            <w:r>
              <w:rPr>
                <w:rFonts w:ascii="Times New Roman" w:eastAsia="Times New Roman" w:hAnsi="Times New Roman" w:cs="Times New Roman"/>
                <w:b w:val="0"/>
                <w:i w:val="0"/>
                <w:caps w:val="0"/>
                <w:strike w:val="0"/>
                <w:color w:val="auto"/>
                <w:sz w:val="22"/>
                <w:u w:val="none"/>
                <w:vertAlign w:val="baseline"/>
              </w:rPr>
              <w:t> </w:t>
            </w:r>
          </w:p>
        </w:tc>
      </w:tr>
      <w:tr>
        <w:tblPrEx>
          <w:tblW w:w="5000" w:type="pct"/>
          <w:tblLayout w:type="fixed"/>
          <w:tblCellMar>
            <w:left w:w="108" w:type="dxa"/>
            <w:right w:w="108" w:type="dxa"/>
          </w:tblCellMar>
        </w:tblPrEx>
        <w:trPr>
          <w:trHeight w:val="1485"/>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p>
        </w:tc>
        <w:tc>
          <w:tcPr>
            <w:tcW w:w="1995" w:type="dxa"/>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p>
        </w:tc>
        <w:tc>
          <w:tcPr>
            <w:tcW w:w="472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r>
              <w:t>13. Ścisła współpraca Policji i</w:t>
            </w:r>
            <w:r>
              <w:t> </w:t>
            </w:r>
            <w:r>
              <w:t>Straży Miejskiej z</w:t>
            </w:r>
            <w:r>
              <w:t> </w:t>
            </w:r>
            <w:r>
              <w:t>Urzędem Miejskim dot. ujawnionych przypadków nieprzestrzegania przepisów ustawy o wychowaniu w</w:t>
            </w:r>
            <w:r>
              <w:t> </w:t>
            </w:r>
            <w:r>
              <w:t>trzeźwości i</w:t>
            </w:r>
            <w:r>
              <w:t> </w:t>
            </w:r>
            <w:r>
              <w:t>przeciwdziałaniu alkoholizmowi.</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r>
              <w:t>Referat Działalności Gospodarczej, Komenda Miejska Policji</w:t>
            </w:r>
          </w:p>
        </w:tc>
      </w:tr>
      <w:tr>
        <w:tblPrEx>
          <w:tblW w:w="5000" w:type="pct"/>
          <w:tblLayout w:type="fixed"/>
          <w:tblCellMar>
            <w:left w:w="108" w:type="dxa"/>
            <w:right w:w="108" w:type="dxa"/>
          </w:tblCellMar>
        </w:tblPrEx>
        <w:trPr>
          <w:trHeight w:val="1215"/>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p>
        </w:tc>
        <w:tc>
          <w:tcPr>
            <w:tcW w:w="1995" w:type="dxa"/>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p>
        </w:tc>
        <w:tc>
          <w:tcPr>
            <w:tcW w:w="472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r>
              <w:t>14. Kierowanie na leczenie odwykowe osób uzależnionych.</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r>
              <w:t>Miejska Komisja Rozwiązywania Problemów Alkoholowych</w:t>
            </w:r>
            <w:r>
              <w:t> </w:t>
            </w:r>
          </w:p>
        </w:tc>
      </w:tr>
      <w:tr>
        <w:tblPrEx>
          <w:tblW w:w="5000" w:type="pct"/>
          <w:tblLayout w:type="fixed"/>
          <w:tblCellMar>
            <w:left w:w="108" w:type="dxa"/>
            <w:right w:w="108" w:type="dxa"/>
          </w:tblCellMar>
        </w:tblPrEx>
        <w:trPr>
          <w:trHeight w:val="839"/>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p>
        </w:tc>
        <w:tc>
          <w:tcPr>
            <w:tcW w:w="1995" w:type="dxa"/>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p>
        </w:tc>
        <w:tc>
          <w:tcPr>
            <w:tcW w:w="472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r>
              <w:t>15.Wspieranie programów niestacjonarnej terapii uzależnienia od alkoholu.</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r>
              <w:t>Miejski Ośrodek Pomocy Rodzinie</w:t>
            </w:r>
          </w:p>
        </w:tc>
      </w:tr>
      <w:tr>
        <w:tblPrEx>
          <w:tblW w:w="5000" w:type="pct"/>
          <w:tblLayout w:type="fixed"/>
          <w:tblCellMar>
            <w:left w:w="108" w:type="dxa"/>
            <w:right w:w="108" w:type="dxa"/>
          </w:tblCellMar>
        </w:tblPrEx>
        <w:trPr>
          <w:trHeight w:val="2385"/>
        </w:trPr>
        <w:tc>
          <w:tcPr>
            <w:tcW w:w="915" w:type="dxa"/>
            <w:gridSpan w:val="2"/>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r>
              <w:t>III.2</w:t>
            </w:r>
          </w:p>
        </w:tc>
        <w:tc>
          <w:tcPr>
            <w:tcW w:w="1995" w:type="dxa"/>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r>
              <w:t>Przeciwdziałanie narkomanii.</w:t>
            </w:r>
          </w:p>
        </w:tc>
        <w:tc>
          <w:tcPr>
            <w:tcW w:w="472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r>
              <w:t>1. Prowadzenia intensywnych działań organów ścigania w</w:t>
            </w:r>
            <w:r>
              <w:t> </w:t>
            </w:r>
            <w:r>
              <w:t>zakresie ujawniania przestępstw związanych z</w:t>
            </w:r>
            <w:r>
              <w:t> </w:t>
            </w:r>
            <w:r>
              <w:t>zażywaniem narkotyków oraz na</w:t>
            </w:r>
            <w:r>
              <w:t> </w:t>
            </w:r>
            <w:r>
              <w:t>rzecz walki z</w:t>
            </w:r>
            <w:r>
              <w:t> </w:t>
            </w:r>
            <w:r>
              <w:t>dealerami narkotyków i</w:t>
            </w:r>
            <w:r>
              <w:t> </w:t>
            </w:r>
            <w:r>
              <w:t>dopalaczy.</w:t>
            </w:r>
          </w:p>
          <w:p>
            <w:pPr>
              <w:jc w:val="left"/>
            </w:pPr>
            <w:r>
              <w:t>2. Prowadzenie prze Policję pogadanek i</w:t>
            </w:r>
            <w:r>
              <w:t> </w:t>
            </w:r>
            <w:r>
              <w:t>prelekcji w</w:t>
            </w:r>
            <w:r>
              <w:t> </w:t>
            </w:r>
            <w:r>
              <w:t>bytomskich szkołach dot.</w:t>
            </w:r>
            <w:r>
              <w:t> </w:t>
            </w:r>
            <w:r>
              <w:t>odpowiedzialności karnej za przestępstwa narkotykowe</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r>
              <w:t>Komenda Miejska Policji</w:t>
            </w:r>
          </w:p>
        </w:tc>
      </w:tr>
      <w:tr>
        <w:tblPrEx>
          <w:tblW w:w="5000" w:type="pct"/>
          <w:tblLayout w:type="fixed"/>
          <w:tblCellMar>
            <w:left w:w="108" w:type="dxa"/>
            <w:right w:w="108" w:type="dxa"/>
          </w:tblCellMar>
        </w:tblPrEx>
        <w:trPr>
          <w:trHeight w:val="840"/>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p>
        </w:tc>
        <w:tc>
          <w:tcPr>
            <w:tcW w:w="1995" w:type="dxa"/>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p>
        </w:tc>
        <w:tc>
          <w:tcPr>
            <w:tcW w:w="472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r>
              <w:t>3. Podejmowanie działań motywujących i</w:t>
            </w:r>
            <w:r>
              <w:t> </w:t>
            </w:r>
            <w:r>
              <w:t>interwencyjnych wobec osób uzależnionych od środków psychoaktywnych.</w:t>
            </w:r>
          </w:p>
          <w:p>
            <w:pPr>
              <w:jc w:val="left"/>
            </w:pPr>
            <w:r>
              <w:t>4. Prowadzenie działalności informacyjnej na</w:t>
            </w:r>
            <w:r>
              <w:t> </w:t>
            </w:r>
            <w:r>
              <w:t>temat możliwości uzyskania pomocy psychologicznej, prawnej i</w:t>
            </w:r>
            <w:r>
              <w:t> </w:t>
            </w:r>
            <w:r>
              <w:t>socjalnej przez osoby uzależnione.</w:t>
            </w:r>
          </w:p>
          <w:p>
            <w:pPr>
              <w:jc w:val="left"/>
            </w:pPr>
            <w:r>
              <w:t>5. Wspieranie kształcenia pedagogów szkolnych, nauczycieli, wychowawców, opiekunów, liderów młodzieżowych w</w:t>
            </w:r>
            <w:r>
              <w:t> </w:t>
            </w:r>
            <w:r>
              <w:t>dziedzinie profilaktyki uzależnień.</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r>
              <w:t>Centrum Przeciwdziałania Uzależnieniom</w:t>
            </w:r>
          </w:p>
        </w:tc>
      </w:tr>
      <w:tr>
        <w:tblPrEx>
          <w:tblW w:w="5000" w:type="pct"/>
          <w:tblLayout w:type="fixed"/>
          <w:tblCellMar>
            <w:left w:w="108" w:type="dxa"/>
            <w:right w:w="108" w:type="dxa"/>
          </w:tblCellMar>
        </w:tblPrEx>
        <w:trPr>
          <w:trHeight w:val="885"/>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p>
        </w:tc>
        <w:tc>
          <w:tcPr>
            <w:tcW w:w="1995" w:type="dxa"/>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p>
        </w:tc>
        <w:tc>
          <w:tcPr>
            <w:tcW w:w="472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240" w:after="240"/>
              <w:jc w:val="left"/>
              <w:rPr>
                <w:rFonts w:ascii="Times New Roman" w:eastAsia="Times New Roman" w:hAnsi="Times New Roman" w:cs="Times New Roman"/>
                <w:b w:val="0"/>
                <w:i w:val="0"/>
                <w:caps w:val="0"/>
                <w:strike w:val="0"/>
                <w:color w:val="auto"/>
                <w:sz w:val="22"/>
                <w:u w:val="none"/>
                <w:vertAlign w:val="baseline"/>
              </w:rPr>
            </w:pPr>
            <w:r>
              <w:t>6. Prowadzenie kampanii społeczno-edukacyjnych nt. uzależnień skierowanych do</w:t>
            </w:r>
            <w:r>
              <w:t> </w:t>
            </w:r>
            <w:r>
              <w:t>mieszkańców miasta.</w:t>
            </w:r>
          </w:p>
          <w:p>
            <w:pPr>
              <w:jc w:val="left"/>
            </w:pPr>
            <w:r>
              <w:t>7. Wspieranie programów profilaktycznych dot.</w:t>
            </w:r>
            <w:r>
              <w:t> </w:t>
            </w:r>
            <w:r>
              <w:t>terapii uzależnienia od narkotyków i</w:t>
            </w:r>
            <w:r>
              <w:t> </w:t>
            </w:r>
            <w:r>
              <w:t>dopingu.</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Centrum Przeciwdziałania Uzależnieniom,</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Wydział Edukacji</w:t>
            </w:r>
          </w:p>
        </w:tc>
      </w:tr>
      <w:tr>
        <w:tblPrEx>
          <w:tblW w:w="5000" w:type="pct"/>
          <w:tblLayout w:type="fixed"/>
          <w:tblCellMar>
            <w:left w:w="108" w:type="dxa"/>
            <w:right w:w="108" w:type="dxa"/>
          </w:tblCellMar>
        </w:tblPrEx>
        <w:trPr>
          <w:trHeight w:val="1527"/>
        </w:trPr>
        <w:tc>
          <w:tcPr>
            <w:tcW w:w="915" w:type="dxa"/>
            <w:gridSpan w:val="2"/>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t>III.3</w:t>
            </w:r>
          </w:p>
        </w:tc>
        <w:tc>
          <w:tcPr>
            <w:tcW w:w="1995" w:type="dxa"/>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t>Przeciwdziałanie przemocy w</w:t>
            </w:r>
            <w:r>
              <w:t> </w:t>
            </w:r>
            <w:r>
              <w:t>rodzinie.</w:t>
            </w:r>
          </w:p>
        </w:tc>
        <w:tc>
          <w:tcPr>
            <w:tcW w:w="472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t>1. Bieżące monitorowanie środowisk zagrożonych występowaniem przemocy w</w:t>
            </w:r>
            <w:r>
              <w:t> </w:t>
            </w:r>
            <w:r>
              <w:t>rodzinie w ramach kolejnych edycji projektu partnerskiego „Prawo Ochronnym Parasolem Dziecka”.</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Miejski Ośrodek Pomocy Rodzinie,</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Komenda Miejska Policji,</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Straż Miejska,</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Wydział Zarządzania Kryzysowego</w:t>
            </w:r>
          </w:p>
        </w:tc>
      </w:tr>
      <w:tr>
        <w:tblPrEx>
          <w:tblW w:w="5000" w:type="pct"/>
          <w:tblLayout w:type="fixed"/>
          <w:tblCellMar>
            <w:left w:w="108" w:type="dxa"/>
            <w:right w:w="108" w:type="dxa"/>
          </w:tblCellMar>
        </w:tblPrEx>
        <w:trPr>
          <w:trHeight w:val="1680"/>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1995" w:type="dxa"/>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472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2. Współuczestnictwo poszczególnych służb, podmiotów w pracach Zespołu Interdyscyplinarnego ds. Przeciwdziałania Przemocy w rodzinie w celu rozwiązywania bieżących problemów przemocy w rodzinie na</w:t>
            </w:r>
            <w:r>
              <w:t> </w:t>
            </w:r>
            <w:r>
              <w:t>terenie naszego miasta.</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Zespół Interdyscyplinarny</w:t>
            </w:r>
          </w:p>
        </w:tc>
      </w:tr>
      <w:tr>
        <w:tblPrEx>
          <w:tblW w:w="5000" w:type="pct"/>
          <w:tblLayout w:type="fixed"/>
          <w:tblCellMar>
            <w:left w:w="108" w:type="dxa"/>
            <w:right w:w="108" w:type="dxa"/>
          </w:tblCellMar>
        </w:tblPrEx>
        <w:trPr>
          <w:trHeight w:val="2835"/>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1995" w:type="dxa"/>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472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3. Prowadzenie działalności informacyjnej na</w:t>
            </w:r>
            <w:r>
              <w:t> </w:t>
            </w:r>
            <w:r>
              <w:t>temat możliwości uzyskania pomocy psychologicznej, prawnej, socjalnej przez osoby dotknięte przemocą w</w:t>
            </w:r>
            <w:r>
              <w:t> </w:t>
            </w:r>
            <w:r>
              <w:t>rodzinie.</w:t>
            </w:r>
          </w:p>
          <w:p>
            <w:pPr>
              <w:jc w:val="left"/>
            </w:pPr>
            <w:r>
              <w:t>4. Inspirowanie działań profilaktycznych i</w:t>
            </w:r>
            <w:r>
              <w:t> </w:t>
            </w:r>
            <w:r>
              <w:t>prowadzenie szkoleń w</w:t>
            </w:r>
            <w:r>
              <w:t> </w:t>
            </w:r>
            <w:r>
              <w:t>zakresie przemocy dla poszczególnych grup zawodowych zaangażowanych w</w:t>
            </w:r>
            <w:r>
              <w:t> </w:t>
            </w:r>
            <w:r>
              <w:t>rozwiązywanie problemów przemocy w</w:t>
            </w:r>
            <w:r>
              <w:t> </w:t>
            </w:r>
            <w:r>
              <w:t>rodzinie.</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Zespół InterdyscyplinarnyCentrum Przeciwdziałania Uzależnieniom, Miejski Ośrodek Pomocy Rodzinie</w:t>
            </w:r>
          </w:p>
        </w:tc>
      </w:tr>
      <w:tr>
        <w:tblPrEx>
          <w:tblW w:w="5000" w:type="pct"/>
          <w:tblLayout w:type="fixed"/>
          <w:tblCellMar>
            <w:left w:w="108" w:type="dxa"/>
            <w:right w:w="108" w:type="dxa"/>
          </w:tblCellMar>
        </w:tblPrEx>
        <w:trPr>
          <w:trHeight w:val="1390"/>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1995" w:type="dxa"/>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472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5. Prowadzenie Hosteli dla ofiar przemocy oraz Ośrodka Interwencji Kryzysowej.</w:t>
            </w:r>
          </w:p>
          <w:p>
            <w:pPr>
              <w:jc w:val="left"/>
            </w:pPr>
            <w:r>
              <w:t>6. Prowadzenie terapii ofiar przemocy w</w:t>
            </w:r>
            <w:r>
              <w:t> </w:t>
            </w:r>
            <w:r>
              <w:t>rodzinie.</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Centrum Przeciwdziałania Uzależnieniom,</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Miejski Ośrodek Pomocy Rodzinie</w:t>
            </w:r>
          </w:p>
        </w:tc>
      </w:tr>
      <w:tr>
        <w:tblPrEx>
          <w:tblW w:w="5000" w:type="pct"/>
          <w:tblLayout w:type="fixed"/>
          <w:tblCellMar>
            <w:left w:w="108" w:type="dxa"/>
            <w:right w:w="108" w:type="dxa"/>
          </w:tblCellMar>
        </w:tblPrEx>
        <w:trPr>
          <w:trHeight w:val="1185"/>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1995" w:type="dxa"/>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472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7. Prowadzenie programu korekcyjno-edukacyjnego dla osób stosujących przemoc w</w:t>
            </w:r>
            <w:r>
              <w:t> </w:t>
            </w:r>
            <w:r>
              <w:t>rodzinie oraz grupy psychoedukacyjnej dla osób doświadczających przemocy w</w:t>
            </w:r>
            <w:r>
              <w:t> </w:t>
            </w:r>
            <w:r>
              <w:t>rodzinie.</w:t>
            </w:r>
          </w:p>
          <w:p>
            <w:pPr>
              <w:jc w:val="left"/>
            </w:pPr>
            <w:r>
              <w:t>8. Prowadzenie bieżących prac interwencyjnych i</w:t>
            </w:r>
            <w:r>
              <w:t> </w:t>
            </w:r>
            <w:r>
              <w:t>terapeutycznych z dziećmi i</w:t>
            </w:r>
            <w:r>
              <w:t> </w:t>
            </w:r>
            <w:r>
              <w:t>osobami dorosłymi doświadczającymi przemocy seksualnej.</w:t>
            </w:r>
          </w:p>
          <w:p>
            <w:pPr>
              <w:jc w:val="left"/>
            </w:pPr>
            <w:r>
              <w:t>9. Umożliwienie darmowych porad prawnych osobom uwikłanym w</w:t>
            </w:r>
            <w:r>
              <w:t> </w:t>
            </w:r>
            <w:r>
              <w:t>przemoc/Punkty Konsultacyjne.</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Centrum Przeciwdziałania Uzależnieniom</w:t>
            </w:r>
          </w:p>
        </w:tc>
      </w:tr>
      <w:tr>
        <w:tblPrEx>
          <w:tblW w:w="5000" w:type="pct"/>
          <w:tblLayout w:type="fixed"/>
          <w:tblCellMar>
            <w:left w:w="108" w:type="dxa"/>
            <w:right w:w="108" w:type="dxa"/>
          </w:tblCellMar>
        </w:tblPrEx>
        <w:trPr>
          <w:trHeight w:val="1020"/>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1995" w:type="dxa"/>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472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10. Prowadzenie kampanii społeczno-edukacyjnych nt. przemocy w rodzinie skierowanych do mieszkańców miast.</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Wydział Polityki Społecznej,</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Zespół Interdyscyplinarny</w:t>
            </w:r>
          </w:p>
        </w:tc>
      </w:tr>
      <w:tr>
        <w:tblPrEx>
          <w:tblW w:w="5000" w:type="pct"/>
          <w:tblLayout w:type="fixed"/>
          <w:tblCellMar>
            <w:left w:w="108" w:type="dxa"/>
            <w:right w:w="108" w:type="dxa"/>
          </w:tblCellMar>
        </w:tblPrEx>
        <w:trPr>
          <w:trHeight w:val="1800"/>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1995" w:type="dxa"/>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472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11. Wspieranie programów profilaktycznych dot. przeciwdziałania przemocy</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Wydział</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Polityki Społecznej,</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Miejski Ośrodek Pomocy Rodzinie, Centrum Przeciwdziałania Uzależnieniom,</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Zespół Interdyscyplinarny</w:t>
            </w:r>
          </w:p>
        </w:tc>
      </w:tr>
      <w:tr>
        <w:tblPrEx>
          <w:tblW w:w="5000" w:type="pct"/>
          <w:tblLayout w:type="fixed"/>
          <w:tblCellMar>
            <w:left w:w="108" w:type="dxa"/>
            <w:right w:w="108" w:type="dxa"/>
          </w:tblCellMar>
        </w:tblPrEx>
        <w:trPr>
          <w:trHeight w:val="629"/>
        </w:trPr>
        <w:tc>
          <w:tcPr>
            <w:tcW w:w="10080" w:type="dxa"/>
            <w:gridSpan w:val="9"/>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Wskaźniki satysfakcji:</w:t>
            </w:r>
          </w:p>
          <w:p>
            <w:pPr>
              <w:jc w:val="left"/>
            </w:pPr>
            <w:r>
              <w:t>1)</w:t>
            </w:r>
            <w:r>
              <w:t> </w:t>
            </w:r>
            <w:r>
              <w:t>utrzymanie dynamiki przestępstw, gdzie stosowana jest przemoc poniżej 100% w</w:t>
            </w:r>
            <w:r>
              <w:t> </w:t>
            </w:r>
            <w:r>
              <w:t>kolejnych latach funkcjonowania programu;</w:t>
            </w:r>
          </w:p>
          <w:p>
            <w:pPr>
              <w:jc w:val="left"/>
            </w:pPr>
            <w:r>
              <w:t>2)</w:t>
            </w:r>
            <w:r>
              <w:t> </w:t>
            </w:r>
            <w:r>
              <w:t>spadek liczby osób, które muszą poddać się terapii przeciwnarkotykowej i</w:t>
            </w:r>
            <w:r>
              <w:t> </w:t>
            </w:r>
            <w:r>
              <w:t>przeciwalkoholowej oraz osób kierowanych na terapię jako ofiary przemocy domowej;</w:t>
            </w:r>
          </w:p>
          <w:p>
            <w:pPr>
              <w:jc w:val="left"/>
            </w:pPr>
            <w:r>
              <w:t>3)</w:t>
            </w:r>
            <w:r>
              <w:t> </w:t>
            </w:r>
            <w:r>
              <w:t>spadek liczby osób doprowadzonych do Izby Wytrzeźwień.</w:t>
            </w:r>
          </w:p>
          <w:p>
            <w:pPr>
              <w:jc w:val="left"/>
            </w:pPr>
            <w:r>
              <w:t>Podmiot wiodący: Centrum Przeciwdziałania Uzależnieniom, Miejski Ośrodek Pomocy Rodzinie.</w:t>
            </w:r>
          </w:p>
        </w:tc>
      </w:tr>
      <w:tr>
        <w:tblPrEx>
          <w:tblW w:w="5000" w:type="pct"/>
          <w:tblLayout w:type="fixed"/>
          <w:tblCellMar>
            <w:left w:w="108" w:type="dxa"/>
            <w:right w:w="108" w:type="dxa"/>
          </w:tblCellMar>
        </w:tblPrEx>
        <w:trPr>
          <w:trHeight w:val="629"/>
        </w:trPr>
        <w:tc>
          <w:tcPr>
            <w:tcW w:w="10080" w:type="dxa"/>
            <w:gridSpan w:val="9"/>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Obszar działania:</w:t>
            </w:r>
          </w:p>
          <w:p>
            <w:pPr>
              <w:jc w:val="left"/>
            </w:pPr>
            <w:r>
              <w:t>IV. Dążenie do poprawy porządku i czystości w mieście.</w:t>
            </w:r>
          </w:p>
        </w:tc>
      </w:tr>
      <w:tr>
        <w:tblPrEx>
          <w:tblW w:w="5000" w:type="pct"/>
          <w:tblLayout w:type="fixed"/>
          <w:tblCellMar>
            <w:left w:w="108" w:type="dxa"/>
            <w:right w:w="108" w:type="dxa"/>
          </w:tblCellMar>
        </w:tblPrEx>
        <w:trPr>
          <w:trHeight w:val="629"/>
        </w:trPr>
        <w:tc>
          <w:tcPr>
            <w:tcW w:w="91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IV.1</w:t>
            </w:r>
          </w:p>
        </w:tc>
        <w:tc>
          <w:tcPr>
            <w:tcW w:w="289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Wyeliminowanie spożywania alkoholu w</w:t>
            </w:r>
            <w:r>
              <w:t> </w:t>
            </w:r>
            <w:r>
              <w:t>miejscach publicznych.</w:t>
            </w:r>
          </w:p>
        </w:tc>
        <w:tc>
          <w:tcPr>
            <w:tcW w:w="382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Zdecydowana reakcja służb porządkowych wobec osób spożywających alkohol w</w:t>
            </w:r>
            <w:r>
              <w:t> </w:t>
            </w:r>
            <w:r>
              <w:t>miejscach zabronionych.</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Komenda Miejska Policji</w:t>
            </w:r>
          </w:p>
        </w:tc>
      </w:tr>
      <w:tr>
        <w:tblPrEx>
          <w:tblW w:w="5000" w:type="pct"/>
          <w:tblLayout w:type="fixed"/>
          <w:tblCellMar>
            <w:left w:w="108" w:type="dxa"/>
            <w:right w:w="108" w:type="dxa"/>
          </w:tblCellMar>
        </w:tblPrEx>
        <w:trPr>
          <w:trHeight w:val="629"/>
        </w:trPr>
        <w:tc>
          <w:tcPr>
            <w:tcW w:w="91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IV.2</w:t>
            </w:r>
          </w:p>
        </w:tc>
        <w:tc>
          <w:tcPr>
            <w:tcW w:w="2895" w:type="dxa"/>
            <w:gridSpan w:val="4"/>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Wyeliminowanie palenia papierosów w</w:t>
            </w:r>
            <w:r>
              <w:t> </w:t>
            </w:r>
            <w:r>
              <w:t>miejscach zabronionych i zaśmiecania tych miejsc.</w:t>
            </w:r>
          </w:p>
        </w:tc>
        <w:tc>
          <w:tcPr>
            <w:tcW w:w="382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Zdecydowana reakcja służb porządkowych wobec osób zaśmiecających miejsca publiczne</w:t>
            </w:r>
            <w:r>
              <w:t> </w:t>
            </w:r>
            <w:r>
              <w:t>i</w:t>
            </w:r>
            <w:r>
              <w:t> </w:t>
            </w:r>
            <w:r>
              <w:t>palących papierosy w</w:t>
            </w:r>
            <w:r>
              <w:t> </w:t>
            </w:r>
            <w:r>
              <w:t>miejscach zabronionych oraz na umieszczanie graffiti, ogłoszeń i</w:t>
            </w:r>
            <w:r>
              <w:t> </w:t>
            </w:r>
            <w:r>
              <w:t>plakatów reklamowych w</w:t>
            </w:r>
            <w:r>
              <w:t> </w:t>
            </w:r>
            <w:r>
              <w:t>miejscach niedozwolonych.</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Straż Miejska</w:t>
            </w:r>
          </w:p>
        </w:tc>
      </w:tr>
      <w:tr>
        <w:tblPrEx>
          <w:tblW w:w="5000" w:type="pct"/>
          <w:tblLayout w:type="fixed"/>
          <w:tblCellMar>
            <w:left w:w="108" w:type="dxa"/>
            <w:right w:w="108" w:type="dxa"/>
          </w:tblCellMar>
        </w:tblPrEx>
        <w:trPr>
          <w:trHeight w:val="1543"/>
        </w:trPr>
        <w:tc>
          <w:tcPr>
            <w:tcW w:w="915" w:type="dxa"/>
            <w:gridSpan w:val="2"/>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IV.3</w:t>
            </w:r>
          </w:p>
        </w:tc>
        <w:tc>
          <w:tcPr>
            <w:tcW w:w="2895" w:type="dxa"/>
            <w:gridSpan w:val="4"/>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Przeciwdziałanie tworzeniu „dzikich wysypisk śmieci” na terenie miasta.</w:t>
            </w:r>
          </w:p>
        </w:tc>
        <w:tc>
          <w:tcPr>
            <w:tcW w:w="382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1. Zdecydowana reakcja służb porządkowych wobec osób pozostawiających odpady w</w:t>
            </w:r>
            <w:r>
              <w:t> </w:t>
            </w:r>
            <w:r>
              <w:t>miejscach do tego nieprzeznaczonych.</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Straż Miejska, Wydział Inżynierii Środowiska</w:t>
            </w:r>
          </w:p>
        </w:tc>
      </w:tr>
      <w:tr>
        <w:tblPrEx>
          <w:tblW w:w="5000" w:type="pct"/>
          <w:tblLayout w:type="fixed"/>
          <w:tblCellMar>
            <w:left w:w="108" w:type="dxa"/>
            <w:right w:w="108" w:type="dxa"/>
          </w:tblCellMar>
        </w:tblPrEx>
        <w:trPr>
          <w:trHeight w:val="960"/>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2895" w:type="dxa"/>
            <w:gridSpan w:val="4"/>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382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2. Monitorowanie gospodarki odpadami na terenie miasta przy wykorzystaniu urządzeń monitoringu wizyjnego miasta.</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Straż Miejska</w:t>
            </w:r>
          </w:p>
        </w:tc>
      </w:tr>
      <w:tr>
        <w:tblPrEx>
          <w:tblW w:w="5000" w:type="pct"/>
          <w:tblLayout w:type="fixed"/>
          <w:tblCellMar>
            <w:left w:w="108" w:type="dxa"/>
            <w:right w:w="108" w:type="dxa"/>
          </w:tblCellMar>
        </w:tblPrEx>
        <w:trPr>
          <w:trHeight w:val="1021"/>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2895" w:type="dxa"/>
            <w:gridSpan w:val="4"/>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p>
        </w:tc>
        <w:tc>
          <w:tcPr>
            <w:tcW w:w="382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3. Opiniowanie wydawanych decyzji o</w:t>
            </w:r>
            <w:r>
              <w:t> </w:t>
            </w:r>
            <w:r>
              <w:t>składowaniu odpadów przez różne podmioty na terenie miasta.</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Zespół ds. Odpadów</w:t>
            </w:r>
          </w:p>
        </w:tc>
      </w:tr>
      <w:tr>
        <w:tblPrEx>
          <w:tblW w:w="5000" w:type="pct"/>
          <w:tblLayout w:type="fixed"/>
          <w:tblCellMar>
            <w:left w:w="108" w:type="dxa"/>
            <w:right w:w="108" w:type="dxa"/>
          </w:tblCellMar>
        </w:tblPrEx>
        <w:trPr>
          <w:trHeight w:val="870"/>
        </w:trPr>
        <w:tc>
          <w:tcPr>
            <w:tcW w:w="915" w:type="dxa"/>
            <w:gridSpan w:val="2"/>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IV.4</w:t>
            </w:r>
          </w:p>
        </w:tc>
        <w:tc>
          <w:tcPr>
            <w:tcW w:w="2895" w:type="dxa"/>
            <w:gridSpan w:val="4"/>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Eliminowanie niewłaściwego parkowania pojazdu na terenie miasta oraz zakazu ruchu w</w:t>
            </w:r>
            <w:r>
              <w:t> </w:t>
            </w:r>
            <w:r>
              <w:t>ścisłym centrum miasta.</w:t>
            </w:r>
          </w:p>
        </w:tc>
        <w:tc>
          <w:tcPr>
            <w:tcW w:w="382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jc w:val="left"/>
              <w:rPr>
                <w:rFonts w:ascii="Times New Roman" w:eastAsia="Times New Roman" w:hAnsi="Times New Roman" w:cs="Times New Roman"/>
                <w:b w:val="0"/>
                <w:i w:val="0"/>
                <w:caps w:val="0"/>
                <w:strike w:val="0"/>
                <w:color w:val="auto"/>
                <w:sz w:val="22"/>
                <w:u w:val="none"/>
                <w:vertAlign w:val="baseline"/>
              </w:rPr>
            </w:pPr>
            <w:r>
              <w:t>1. Zdecydowana reakcja służb porządkowych wobec kierujących pojazdami, którzy nie stosują się do</w:t>
            </w:r>
            <w:r>
              <w:t> </w:t>
            </w:r>
            <w:r>
              <w:t>przepisów ruchu drogowego.</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Straż Miejska,</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Komenda Miejska Policji</w:t>
            </w:r>
          </w:p>
        </w:tc>
      </w:tr>
      <w:tr>
        <w:tblPrEx>
          <w:tblW w:w="5000" w:type="pct"/>
          <w:tblLayout w:type="fixed"/>
          <w:tblCellMar>
            <w:left w:w="108" w:type="dxa"/>
            <w:right w:w="108" w:type="dxa"/>
          </w:tblCellMar>
        </w:tblPrEx>
        <w:trPr>
          <w:trHeight w:val="915"/>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2895" w:type="dxa"/>
            <w:gridSpan w:val="4"/>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382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2. Propagowanie zachowań mających na celu eliminowanie parkowania pojazdów w miejscach niedozwolonych zagrażających bezpieczeństwu ruchu drogowego.</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Straż Miejska,</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Komenda Miejska Policji</w:t>
            </w:r>
          </w:p>
        </w:tc>
      </w:tr>
      <w:tr>
        <w:tblPrEx>
          <w:tblW w:w="5000" w:type="pct"/>
          <w:tblLayout w:type="fixed"/>
          <w:tblCellMar>
            <w:left w:w="108" w:type="dxa"/>
            <w:right w:w="108" w:type="dxa"/>
          </w:tblCellMar>
        </w:tblPrEx>
        <w:trPr>
          <w:trHeight w:val="1148"/>
        </w:trPr>
        <w:tc>
          <w:tcPr>
            <w:tcW w:w="915" w:type="dxa"/>
            <w:gridSpan w:val="2"/>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IV.5</w:t>
            </w:r>
          </w:p>
        </w:tc>
        <w:tc>
          <w:tcPr>
            <w:tcW w:w="2895" w:type="dxa"/>
            <w:gridSpan w:val="4"/>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Przeciwdziałanie aktom wandalizmu przeciwko urządzeniom przeznaczonym do</w:t>
            </w:r>
            <w:r>
              <w:t> </w:t>
            </w:r>
            <w:r>
              <w:t>użytku publicznym.</w:t>
            </w:r>
          </w:p>
        </w:tc>
        <w:tc>
          <w:tcPr>
            <w:tcW w:w="382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1. Zdecydowana reakcja służb porządkowych na akty dewastacji, wandalizmu i chuligaństwa na terenie miasta.</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Straż Miejska,</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Komenda Miejska Policji</w:t>
            </w:r>
          </w:p>
        </w:tc>
      </w:tr>
      <w:tr>
        <w:tblPrEx>
          <w:tblW w:w="5000" w:type="pct"/>
          <w:tblLayout w:type="fixed"/>
          <w:tblCellMar>
            <w:left w:w="108" w:type="dxa"/>
            <w:right w:w="108" w:type="dxa"/>
          </w:tblCellMar>
        </w:tblPrEx>
        <w:trPr>
          <w:trHeight w:val="1147"/>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2895" w:type="dxa"/>
            <w:gridSpan w:val="4"/>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382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2. Promowanie rozwiązań na rzecz budowania przestrzeni publicznej przyjaznej mieszkańcom miasta.</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Wydział Komunikacji Medialnej i Promocji Bytomia</w:t>
            </w:r>
          </w:p>
        </w:tc>
      </w:tr>
      <w:tr>
        <w:tblPrEx>
          <w:tblW w:w="5000" w:type="pct"/>
          <w:tblLayout w:type="fixed"/>
          <w:tblCellMar>
            <w:left w:w="108" w:type="dxa"/>
            <w:right w:w="108" w:type="dxa"/>
          </w:tblCellMar>
        </w:tblPrEx>
        <w:trPr>
          <w:trHeight w:val="723"/>
        </w:trPr>
        <w:tc>
          <w:tcPr>
            <w:tcW w:w="10080" w:type="dxa"/>
            <w:gridSpan w:val="9"/>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Wskaźniki satysfakcji:</w:t>
            </w:r>
          </w:p>
          <w:p>
            <w:pPr>
              <w:jc w:val="left"/>
            </w:pPr>
            <w:r>
              <w:t>1)</w:t>
            </w:r>
            <w:r>
              <w:t> </w:t>
            </w:r>
            <w:r>
              <w:t>ilość nałożonych sankcji karnych za wykroczenia tzw. „porządkowe” w kolejnych latach realizacji programu;</w:t>
            </w:r>
          </w:p>
          <w:p>
            <w:pPr>
              <w:jc w:val="left"/>
            </w:pPr>
            <w:r>
              <w:t>2)</w:t>
            </w:r>
            <w:r>
              <w:t> </w:t>
            </w:r>
            <w:r>
              <w:t>ilość nałożonych sankcji karnych za niewłaściwe parkowanie oraz łamanie zakazu ruchu w obu kierunkach w kolejnych latach realizacji programu.</w:t>
            </w:r>
          </w:p>
          <w:p>
            <w:pPr>
              <w:jc w:val="left"/>
            </w:pPr>
            <w:r>
              <w:t>Podmiot wiodący: Straż Miejska.</w:t>
            </w:r>
          </w:p>
        </w:tc>
      </w:tr>
      <w:tr>
        <w:tblPrEx>
          <w:tblW w:w="5000" w:type="pct"/>
          <w:tblLayout w:type="fixed"/>
          <w:tblCellMar>
            <w:left w:w="108" w:type="dxa"/>
            <w:right w:w="108" w:type="dxa"/>
          </w:tblCellMar>
        </w:tblPrEx>
        <w:trPr>
          <w:trHeight w:val="715"/>
        </w:trPr>
        <w:tc>
          <w:tcPr>
            <w:tcW w:w="10080" w:type="dxa"/>
            <w:gridSpan w:val="9"/>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Obszar działania:</w:t>
            </w:r>
          </w:p>
          <w:p>
            <w:pPr>
              <w:jc w:val="left"/>
            </w:pPr>
            <w:r>
              <w:t>V. Dążenie do dalszej poprawy bezpieczeństwa ruchu drogowego.</w:t>
            </w:r>
          </w:p>
        </w:tc>
      </w:tr>
      <w:tr>
        <w:tblPrEx>
          <w:tblW w:w="5000" w:type="pct"/>
          <w:tblLayout w:type="fixed"/>
          <w:tblCellMar>
            <w:left w:w="108" w:type="dxa"/>
            <w:right w:w="108" w:type="dxa"/>
          </w:tblCellMar>
        </w:tblPrEx>
        <w:trPr>
          <w:trHeight w:val="2430"/>
        </w:trPr>
        <w:tc>
          <w:tcPr>
            <w:tcW w:w="915" w:type="dxa"/>
            <w:gridSpan w:val="2"/>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V.1</w:t>
            </w:r>
          </w:p>
        </w:tc>
        <w:tc>
          <w:tcPr>
            <w:tcW w:w="2895" w:type="dxa"/>
            <w:gridSpan w:val="4"/>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Ograniczenie zdarzeń drogowych na terenie miasta Bytomia.</w:t>
            </w:r>
          </w:p>
        </w:tc>
        <w:tc>
          <w:tcPr>
            <w:tcW w:w="382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1. Systematyczne dokonywanie kontroli prędkości pojazdów poruszających się po ulicach naszego miasta.</w:t>
            </w:r>
          </w:p>
          <w:p>
            <w:pPr>
              <w:jc w:val="left"/>
            </w:pPr>
            <w:r>
              <w:t>2. Prowadzenie intensywnych działań w</w:t>
            </w:r>
            <w:r>
              <w:t> </w:t>
            </w:r>
            <w:r>
              <w:t>zakresie ujawnienia i</w:t>
            </w:r>
            <w:r>
              <w:t> </w:t>
            </w:r>
            <w:r>
              <w:t>eliminowania z</w:t>
            </w:r>
            <w:r>
              <w:t> </w:t>
            </w:r>
            <w:r>
              <w:t>ruchu kierujących pojazdami w</w:t>
            </w:r>
            <w:r>
              <w:t> </w:t>
            </w:r>
            <w:r>
              <w:t>stanie nietrzeźwości, po użyciu alkoholu lub innych środków odurzających</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Komenda Miejska Policji</w:t>
            </w:r>
          </w:p>
        </w:tc>
      </w:tr>
      <w:tr>
        <w:tblPrEx>
          <w:tblW w:w="5000" w:type="pct"/>
          <w:tblLayout w:type="fixed"/>
          <w:tblCellMar>
            <w:left w:w="108" w:type="dxa"/>
            <w:right w:w="108" w:type="dxa"/>
          </w:tblCellMar>
        </w:tblPrEx>
        <w:trPr>
          <w:trHeight w:val="737"/>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2895" w:type="dxa"/>
            <w:gridSpan w:val="4"/>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382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3. Bieżące weryfikowanie i</w:t>
            </w:r>
            <w:r>
              <w:t> </w:t>
            </w:r>
            <w:r>
              <w:t>ocenianie celowości ustawienia znaków drogowych poprzez bieżące opiniowanie nowych projektów i</w:t>
            </w:r>
            <w:r>
              <w:t> </w:t>
            </w:r>
            <w:r>
              <w:t>zmiany organizacji ruchu na terenie miasta.</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Referat Transportu Lokalnego,</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Miejski Zarząd Dróg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Mostów</w:t>
            </w:r>
          </w:p>
        </w:tc>
      </w:tr>
      <w:tr>
        <w:tblPrEx>
          <w:tblW w:w="5000" w:type="pct"/>
          <w:tblLayout w:type="fixed"/>
          <w:tblCellMar>
            <w:left w:w="108" w:type="dxa"/>
            <w:right w:w="108" w:type="dxa"/>
          </w:tblCellMar>
        </w:tblPrEx>
        <w:trPr>
          <w:trHeight w:val="465"/>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p>
        </w:tc>
        <w:tc>
          <w:tcPr>
            <w:tcW w:w="2895" w:type="dxa"/>
            <w:gridSpan w:val="4"/>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p>
        </w:tc>
        <w:tc>
          <w:tcPr>
            <w:tcW w:w="382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t>4. Dążenie do wprowadzania kolejnych odcinków tras przelotowych o</w:t>
            </w:r>
            <w:r>
              <w:t> </w:t>
            </w:r>
            <w:r>
              <w:t>skoordynowanej sygnalizacji świetlnej.</w:t>
            </w:r>
          </w:p>
          <w:p>
            <w:pPr>
              <w:jc w:val="left"/>
            </w:pPr>
            <w:r>
              <w:t>5. Wprowadzanie rozwiązań technicznych na rzecz uspokojenia ruchu w miejscach uznanych za</w:t>
            </w:r>
            <w:r>
              <w:t> </w:t>
            </w:r>
            <w:r>
              <w:t>niebezpieczne.</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t>Referat Transportu Lokalnego</w:t>
            </w:r>
          </w:p>
        </w:tc>
      </w:tr>
      <w:tr>
        <w:tblPrEx>
          <w:tblW w:w="5000" w:type="pct"/>
          <w:tblLayout w:type="fixed"/>
          <w:tblCellMar>
            <w:left w:w="108" w:type="dxa"/>
            <w:right w:w="108" w:type="dxa"/>
          </w:tblCellMar>
        </w:tblPrEx>
        <w:trPr>
          <w:trHeight w:val="825"/>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p>
        </w:tc>
        <w:tc>
          <w:tcPr>
            <w:tcW w:w="2895" w:type="dxa"/>
            <w:gridSpan w:val="4"/>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p>
        </w:tc>
        <w:tc>
          <w:tcPr>
            <w:tcW w:w="382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t>6. Podnoszenie standardów oznakowania dróg poprzez wprowadzenie oznakowania poziomego z</w:t>
            </w:r>
            <w:r>
              <w:t> </w:t>
            </w:r>
            <w:r>
              <w:t>mas termoplastycznych i</w:t>
            </w:r>
            <w:r>
              <w:t> </w:t>
            </w:r>
            <w:r>
              <w:t>pionowego z</w:t>
            </w:r>
            <w:r>
              <w:t> </w:t>
            </w:r>
            <w:r>
              <w:t>wykorzystaniem znaków odblaskowych poprawiających ich widoczność w</w:t>
            </w:r>
            <w:r>
              <w:t> </w:t>
            </w:r>
            <w:r>
              <w:t>porze wieczorno-nocnej.</w:t>
            </w:r>
          </w:p>
          <w:p>
            <w:pPr>
              <w:jc w:val="left"/>
            </w:pPr>
            <w:r>
              <w:t>7. Prowadzenie na bieżąco konserwacji znaków drogowych i</w:t>
            </w:r>
            <w:r>
              <w:t> </w:t>
            </w:r>
            <w:r>
              <w:t>barier chodnikowych.</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t>Miejski Zarząd Dróg i Mostów</w:t>
            </w:r>
          </w:p>
        </w:tc>
      </w:tr>
      <w:tr>
        <w:tblPrEx>
          <w:tblW w:w="5000" w:type="pct"/>
          <w:tblLayout w:type="fixed"/>
          <w:tblCellMar>
            <w:left w:w="108" w:type="dxa"/>
            <w:right w:w="108" w:type="dxa"/>
          </w:tblCellMar>
        </w:tblPrEx>
        <w:trPr>
          <w:trHeight w:val="2760"/>
        </w:trPr>
        <w:tc>
          <w:tcPr>
            <w:tcW w:w="915" w:type="dxa"/>
            <w:gridSpan w:val="2"/>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t>V.2</w:t>
            </w:r>
          </w:p>
        </w:tc>
        <w:tc>
          <w:tcPr>
            <w:tcW w:w="2895" w:type="dxa"/>
            <w:gridSpan w:val="4"/>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t>Poprawa bezpieczeństwa niechronionych uczestników ruchu drogowego.</w:t>
            </w:r>
          </w:p>
        </w:tc>
        <w:tc>
          <w:tcPr>
            <w:tcW w:w="382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t>1. Bieżące wyznaczanie przejść dla pieszych, w tym z sygnalizacją świetlną w miejscach szczególnie zagrożonych.</w:t>
            </w:r>
          </w:p>
          <w:p>
            <w:pPr>
              <w:jc w:val="left"/>
            </w:pPr>
            <w:r>
              <w:t>2. Prowadzenie akcji doświetlania przejść dla pieszych na terenie całego miasta.</w:t>
            </w:r>
          </w:p>
          <w:p>
            <w:pPr>
              <w:jc w:val="left"/>
            </w:pPr>
            <w:r>
              <w:t>3. Podejmowanie działań na rzecz systematycznego oddzielenia ruchu pieszego i rowerowego od ruchu pojazdów silnikowych.</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t>Miejski Zarząd Dróg i Mostów</w:t>
            </w:r>
          </w:p>
        </w:tc>
      </w:tr>
      <w:tr>
        <w:tblPrEx>
          <w:tblW w:w="5000" w:type="pct"/>
          <w:tblLayout w:type="fixed"/>
          <w:tblCellMar>
            <w:left w:w="108" w:type="dxa"/>
            <w:right w:w="108" w:type="dxa"/>
          </w:tblCellMar>
        </w:tblPrEx>
        <w:trPr>
          <w:trHeight w:val="1185"/>
        </w:trPr>
        <w:tc>
          <w:tcPr>
            <w:tcW w:w="915" w:type="dxa"/>
            <w:gridSpan w:val="2"/>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p>
        </w:tc>
        <w:tc>
          <w:tcPr>
            <w:tcW w:w="2895" w:type="dxa"/>
            <w:gridSpan w:val="4"/>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p>
        </w:tc>
        <w:tc>
          <w:tcPr>
            <w:tcW w:w="382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t>4. Kontynuacja prowadzonych akcji i</w:t>
            </w:r>
            <w:r>
              <w:t> </w:t>
            </w:r>
            <w:r>
              <w:t>programów profilaktycznych dot.</w:t>
            </w:r>
            <w:r>
              <w:t> </w:t>
            </w:r>
            <w:r>
              <w:t>bezpieczeństwa niechronionych uczestników ruchu drogowego.</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t>Komenda Miejska Policji</w:t>
            </w:r>
          </w:p>
        </w:tc>
      </w:tr>
      <w:tr>
        <w:tblPrEx>
          <w:tblW w:w="5000" w:type="pct"/>
          <w:tblLayout w:type="fixed"/>
          <w:tblCellMar>
            <w:left w:w="108" w:type="dxa"/>
            <w:right w:w="108" w:type="dxa"/>
          </w:tblCellMar>
        </w:tblPrEx>
        <w:trPr>
          <w:trHeight w:val="629"/>
        </w:trPr>
        <w:tc>
          <w:tcPr>
            <w:tcW w:w="10080" w:type="dxa"/>
            <w:gridSpan w:val="9"/>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t>Wskaźniki satysfakcji:</w:t>
            </w:r>
          </w:p>
          <w:p>
            <w:pPr>
              <w:jc w:val="left"/>
            </w:pPr>
            <w:r>
              <w:t>1)</w:t>
            </w:r>
            <w:r>
              <w:t> </w:t>
            </w:r>
            <w:r>
              <w:t>dążenie do obniżenia dynamiki ilości wypadków drogowych w</w:t>
            </w:r>
            <w:r>
              <w:t> </w:t>
            </w:r>
            <w:r>
              <w:t>kolejnych latach realizacji programu;</w:t>
            </w:r>
          </w:p>
          <w:p>
            <w:pPr>
              <w:jc w:val="left"/>
            </w:pPr>
            <w:r>
              <w:t>2)</w:t>
            </w:r>
            <w:r>
              <w:t> </w:t>
            </w:r>
            <w:r>
              <w:t>dążenie do obniżenia dynamiki wypadków, w</w:t>
            </w:r>
            <w:r>
              <w:t> </w:t>
            </w:r>
            <w:r>
              <w:t>których ofiarami są niechronieni użytkownicy dróg w</w:t>
            </w:r>
            <w:r>
              <w:t> </w:t>
            </w:r>
            <w:r>
              <w:t>kolejnych latach realizacji programu;</w:t>
            </w:r>
          </w:p>
          <w:p>
            <w:pPr>
              <w:jc w:val="left"/>
            </w:pPr>
            <w:r>
              <w:t>3)</w:t>
            </w:r>
            <w:r>
              <w:t> </w:t>
            </w:r>
            <w:r>
              <w:t>dążenie do obniżenia dynamiki wypadków i</w:t>
            </w:r>
            <w:r>
              <w:t> </w:t>
            </w:r>
            <w:r>
              <w:t>kolizji drogowych, których sprawcami są osoby po użyciu alkoholu lub innych środków odurzających;</w:t>
            </w:r>
          </w:p>
          <w:p>
            <w:pPr>
              <w:jc w:val="left"/>
            </w:pPr>
            <w:r>
              <w:t>4)</w:t>
            </w:r>
            <w:r>
              <w:t> </w:t>
            </w:r>
            <w:r>
              <w:t>dążenie do obniżenia dynamiki ofiar śmiertelnych w</w:t>
            </w:r>
            <w:r>
              <w:t> </w:t>
            </w:r>
            <w:r>
              <w:t>wypadkach drogowych.</w:t>
            </w:r>
          </w:p>
          <w:p>
            <w:pPr>
              <w:jc w:val="left"/>
            </w:pPr>
            <w:r>
              <w:t>Podmiot wiodący: Miejski Zarząd Dróg i</w:t>
            </w:r>
            <w:r>
              <w:t> </w:t>
            </w:r>
            <w:r>
              <w:t>Mostów.</w:t>
            </w:r>
          </w:p>
        </w:tc>
      </w:tr>
      <w:tr>
        <w:tblPrEx>
          <w:tblW w:w="5000" w:type="pct"/>
          <w:tblLayout w:type="fixed"/>
          <w:tblCellMar>
            <w:left w:w="108" w:type="dxa"/>
            <w:right w:w="108" w:type="dxa"/>
          </w:tblCellMar>
        </w:tblPrEx>
        <w:trPr>
          <w:trHeight w:val="685"/>
        </w:trPr>
        <w:tc>
          <w:tcPr>
            <w:tcW w:w="10080" w:type="dxa"/>
            <w:gridSpan w:val="9"/>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t>Obszar działania:</w:t>
            </w:r>
          </w:p>
          <w:p>
            <w:pPr>
              <w:jc w:val="left"/>
            </w:pPr>
            <w:r>
              <w:t>VI. Prowadzenie działań w</w:t>
            </w:r>
            <w:r>
              <w:t> </w:t>
            </w:r>
            <w:r>
              <w:t>zakresie podnoszenia świadomości w</w:t>
            </w:r>
            <w:r>
              <w:t> </w:t>
            </w:r>
            <w:r>
              <w:t>zakresie ochrony przeciwpożarowej i</w:t>
            </w:r>
            <w:r>
              <w:t> </w:t>
            </w:r>
            <w:r>
              <w:t>zasad właściwego zachowania w</w:t>
            </w:r>
            <w:r>
              <w:t> </w:t>
            </w:r>
            <w:r>
              <w:t>sytuacjach zagrażających bezpieczeństwu, w</w:t>
            </w:r>
            <w:r>
              <w:t> </w:t>
            </w:r>
            <w:r>
              <w:t>tym przygotowań na wypadek zaistnienia sytuacji kryzysowej.</w:t>
            </w:r>
          </w:p>
        </w:tc>
      </w:tr>
      <w:tr>
        <w:tblPrEx>
          <w:tblW w:w="5000" w:type="pct"/>
          <w:tblLayout w:type="fixed"/>
          <w:tblCellMar>
            <w:left w:w="108" w:type="dxa"/>
            <w:right w:w="108" w:type="dxa"/>
          </w:tblCellMar>
        </w:tblPrEx>
        <w:trPr>
          <w:trHeight w:val="1260"/>
        </w:trPr>
        <w:tc>
          <w:tcPr>
            <w:tcW w:w="705" w:type="dxa"/>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t>VI.1</w:t>
            </w:r>
          </w:p>
        </w:tc>
        <w:tc>
          <w:tcPr>
            <w:tcW w:w="3105" w:type="dxa"/>
            <w:gridSpan w:val="5"/>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t>Ograniczenie ilości powstawania pożarów na</w:t>
            </w:r>
            <w:r>
              <w:t> </w:t>
            </w:r>
            <w:r>
              <w:t>terenie miasta.</w:t>
            </w:r>
          </w:p>
        </w:tc>
        <w:tc>
          <w:tcPr>
            <w:tcW w:w="382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t>1. Prowadzenie akcji informacyjnej skierowanej do właścicieli i</w:t>
            </w:r>
            <w:r>
              <w:t> </w:t>
            </w:r>
            <w:r>
              <w:t>zarządców budynków mieszkalnych w</w:t>
            </w:r>
            <w:r>
              <w:t> </w:t>
            </w:r>
            <w:r>
              <w:t>zakresie właściwego zachowania eliminującego zagrożenia powstawania pożarów.</w:t>
            </w:r>
          </w:p>
          <w:p>
            <w:pPr>
              <w:jc w:val="left"/>
            </w:pPr>
            <w:r>
              <w:t>2. Prowadzenie na bieżąco działań sprawdzająco-kontrolnych dot.</w:t>
            </w:r>
            <w:r>
              <w:t> </w:t>
            </w:r>
            <w:r>
              <w:t>przestrzegania przepisów ppoż. na terenie miasta.</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t>Komenda Miejska Straży Pożarnej</w:t>
            </w:r>
          </w:p>
        </w:tc>
      </w:tr>
      <w:tr>
        <w:tblPrEx>
          <w:tblW w:w="5000" w:type="pct"/>
          <w:tblLayout w:type="fixed"/>
          <w:tblCellMar>
            <w:left w:w="108" w:type="dxa"/>
            <w:right w:w="108" w:type="dxa"/>
          </w:tblCellMar>
        </w:tblPrEx>
        <w:trPr>
          <w:trHeight w:val="615"/>
        </w:trPr>
        <w:tc>
          <w:tcPr>
            <w:tcW w:w="705" w:type="dxa"/>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p>
        </w:tc>
        <w:tc>
          <w:tcPr>
            <w:tcW w:w="3105" w:type="dxa"/>
            <w:gridSpan w:val="5"/>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p>
        </w:tc>
        <w:tc>
          <w:tcPr>
            <w:tcW w:w="382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jc w:val="left"/>
              <w:rPr>
                <w:rFonts w:ascii="Times New Roman" w:eastAsia="Times New Roman" w:hAnsi="Times New Roman" w:cs="Times New Roman"/>
                <w:b w:val="0"/>
                <w:i w:val="0"/>
                <w:caps w:val="0"/>
                <w:strike w:val="0"/>
                <w:color w:val="auto"/>
                <w:sz w:val="22"/>
                <w:u w:val="none"/>
                <w:vertAlign w:val="baseline"/>
              </w:rPr>
            </w:pPr>
            <w:r>
              <w:t>3. Prowadzenie na bieżąco działań profilaktycznych na terenie miasta w</w:t>
            </w:r>
            <w:r>
              <w:t> </w:t>
            </w:r>
            <w:r>
              <w:t>zakresie poprawy bezpieczeństwa i</w:t>
            </w:r>
            <w:r>
              <w:t> </w:t>
            </w:r>
            <w:r>
              <w:t>ochrony przeciwpożarowej.</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t>Komenda Miejska Straży Pożarnej,</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Wydział Zarządzania Kryzysowego</w:t>
            </w:r>
          </w:p>
        </w:tc>
      </w:tr>
      <w:tr>
        <w:tblPrEx>
          <w:tblW w:w="5000" w:type="pct"/>
          <w:tblLayout w:type="fixed"/>
          <w:tblCellMar>
            <w:left w:w="108" w:type="dxa"/>
            <w:right w:w="108" w:type="dxa"/>
          </w:tblCellMar>
        </w:tblPrEx>
        <w:trPr>
          <w:trHeight w:val="2190"/>
        </w:trPr>
        <w:tc>
          <w:tcPr>
            <w:tcW w:w="705" w:type="dxa"/>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3105" w:type="dxa"/>
            <w:gridSpan w:val="5"/>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382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4. Coroczne występowanie do</w:t>
            </w:r>
            <w:r>
              <w:t> </w:t>
            </w:r>
            <w:r>
              <w:t>właścicieli, zarządców i</w:t>
            </w:r>
            <w:r>
              <w:t> </w:t>
            </w:r>
            <w:r>
              <w:t>administratorów infrastruktury budowlanej na terenie miasta o</w:t>
            </w:r>
            <w:r>
              <w:t> </w:t>
            </w:r>
            <w:r>
              <w:t>podjęcie działań sprawdzająco-kontrolnych w</w:t>
            </w:r>
            <w:r>
              <w:t> </w:t>
            </w:r>
            <w:r>
              <w:t>swoich zasobach celem ujawnienia usterek urządzeń grzewczo-kominowych i</w:t>
            </w:r>
            <w:r>
              <w:t> </w:t>
            </w:r>
            <w:r>
              <w:t>ich eliminowanie przed rozpoczęciem sezonu grzewczego.</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 xml:space="preserve">Wydział Zarządzania Kryzysowego </w:t>
            </w:r>
          </w:p>
        </w:tc>
      </w:tr>
      <w:tr>
        <w:tblPrEx>
          <w:tblW w:w="5000" w:type="pct"/>
          <w:tblLayout w:type="fixed"/>
          <w:tblCellMar>
            <w:left w:w="108" w:type="dxa"/>
            <w:right w:w="108" w:type="dxa"/>
          </w:tblCellMar>
        </w:tblPrEx>
        <w:trPr>
          <w:trHeight w:val="2130"/>
        </w:trPr>
        <w:tc>
          <w:tcPr>
            <w:tcW w:w="705" w:type="dxa"/>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VI.2</w:t>
            </w:r>
          </w:p>
        </w:tc>
        <w:tc>
          <w:tcPr>
            <w:tcW w:w="3105" w:type="dxa"/>
            <w:gridSpan w:val="5"/>
            <w:vMerge w:val="restart"/>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Ograniczenie liczby zdarzeń związanych z zatruciem tlenkiem węgla.</w:t>
            </w:r>
          </w:p>
        </w:tc>
        <w:tc>
          <w:tcPr>
            <w:tcW w:w="382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1. Coroczne prowadzenie przed sezonem grzewczym akcji informacyjnej dot. szkodliwości tlenku węgla na organizm ludzki i</w:t>
            </w:r>
            <w:r>
              <w:t> </w:t>
            </w:r>
            <w:r>
              <w:t>właściwym użytkowaniu urządzeń grzewczo-kominowych.</w:t>
            </w:r>
          </w:p>
          <w:p>
            <w:pPr>
              <w:jc w:val="left"/>
            </w:pPr>
            <w:r>
              <w:t>2. W ramach kampanii „Nie dla czadu” przekazywanie na bieżąco informacji do lokalnej prasy.</w:t>
            </w:r>
          </w:p>
          <w:p>
            <w:pPr>
              <w:jc w:val="left"/>
            </w:pPr>
            <w:r>
              <w:t>3. Zamieszczenie na stronach internetowych Komendy Miejskiej Państwowej Straży Pożarnej, Urzędu Miejskiego i</w:t>
            </w:r>
            <w:r>
              <w:t> </w:t>
            </w:r>
            <w:r>
              <w:t>Komendy Miejskiej Policji informacji na temat zagrożeń i</w:t>
            </w:r>
            <w:r>
              <w:t> </w:t>
            </w:r>
            <w:r>
              <w:t>przeciwdziałania zatruciem tlenkiem węgla.</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Komenda Miejska Straży Pożarnej</w:t>
            </w:r>
          </w:p>
        </w:tc>
      </w:tr>
      <w:tr>
        <w:tblPrEx>
          <w:tblW w:w="5000" w:type="pct"/>
          <w:tblLayout w:type="fixed"/>
          <w:tblCellMar>
            <w:left w:w="108" w:type="dxa"/>
            <w:right w:w="108" w:type="dxa"/>
          </w:tblCellMar>
        </w:tblPrEx>
        <w:trPr>
          <w:trHeight w:val="1305"/>
        </w:trPr>
        <w:tc>
          <w:tcPr>
            <w:tcW w:w="705" w:type="dxa"/>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3105" w:type="dxa"/>
            <w:gridSpan w:val="5"/>
            <w:vMerge/>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p>
        </w:tc>
        <w:tc>
          <w:tcPr>
            <w:tcW w:w="382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4. Wspieranie programów profilaktycznych dot. przeciwdziałania powstawania pożarów i innych zagrożeń bezpieczeństwa.</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Wydział Zarządzania Kryzysowego</w:t>
            </w:r>
          </w:p>
        </w:tc>
      </w:tr>
      <w:tr>
        <w:tblPrEx>
          <w:tblW w:w="5000" w:type="pct"/>
          <w:tblLayout w:type="fixed"/>
          <w:tblCellMar>
            <w:left w:w="108" w:type="dxa"/>
            <w:right w:w="108" w:type="dxa"/>
          </w:tblCellMar>
        </w:tblPrEx>
        <w:trPr>
          <w:trHeight w:val="1480"/>
        </w:trPr>
        <w:tc>
          <w:tcPr>
            <w:tcW w:w="70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VI.3</w:t>
            </w:r>
          </w:p>
        </w:tc>
        <w:tc>
          <w:tcPr>
            <w:tcW w:w="3105" w:type="dxa"/>
            <w:gridSpan w:val="5"/>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Edukacja i</w:t>
            </w:r>
            <w:r>
              <w:t> </w:t>
            </w:r>
            <w:r>
              <w:t>informowanie mieszkańców o</w:t>
            </w:r>
            <w:r>
              <w:t> </w:t>
            </w:r>
            <w:r>
              <w:t>zasadach właściwego zachowania w</w:t>
            </w:r>
            <w:r>
              <w:t> </w:t>
            </w:r>
            <w:r>
              <w:t>sytuacjach zagrożenia bezpieczeństwa, w</w:t>
            </w:r>
            <w:r>
              <w:t> </w:t>
            </w:r>
            <w:r>
              <w:t>tym na</w:t>
            </w:r>
            <w:r>
              <w:t> </w:t>
            </w:r>
            <w:r>
              <w:t>wypadek zaistnienia sytuacji kryzysowej.</w:t>
            </w:r>
          </w:p>
        </w:tc>
        <w:tc>
          <w:tcPr>
            <w:tcW w:w="3825" w:type="dxa"/>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1. Prowadzenie szkoleń w</w:t>
            </w:r>
            <w:r>
              <w:t> </w:t>
            </w:r>
            <w:r>
              <w:t>ramach powszechnej samoobrony ludności dot. stosownych zachowań w</w:t>
            </w:r>
            <w:r>
              <w:t> </w:t>
            </w:r>
            <w:r>
              <w:t>sytuacjach różnego rodzaju zagrożeń z</w:t>
            </w:r>
            <w:r>
              <w:t> </w:t>
            </w:r>
            <w:r>
              <w:t>uwzględnieniem umiejętności udzielenia pomocy przedmedycznej.</w:t>
            </w:r>
          </w:p>
          <w:p>
            <w:pPr>
              <w:jc w:val="left"/>
            </w:pPr>
            <w:r>
              <w:t>2. Bieżące doskonalenie Systemu Wczesnego Ostrzegania i</w:t>
            </w:r>
            <w:r>
              <w:t> </w:t>
            </w:r>
            <w:r>
              <w:t>Wykrywania i</w:t>
            </w:r>
            <w:r>
              <w:t> </w:t>
            </w:r>
            <w:r>
              <w:t>Alarmowania ludności na terenie miasta</w:t>
            </w:r>
          </w:p>
          <w:p>
            <w:pPr>
              <w:jc w:val="left"/>
            </w:pPr>
            <w:r>
              <w:t>3. Bieżące wdrażanie procedur postępowania zawartych w</w:t>
            </w:r>
            <w:r>
              <w:t> </w:t>
            </w:r>
            <w:r>
              <w:t>„Planie Zarządzania Kryzysowego” i</w:t>
            </w:r>
            <w:r>
              <w:t> </w:t>
            </w:r>
            <w:r>
              <w:t>„Planie Obrony Cywilnej”.</w:t>
            </w:r>
          </w:p>
          <w:p>
            <w:pPr>
              <w:jc w:val="left"/>
            </w:pPr>
            <w:r>
              <w:t>4. Systematyczne doposażenie właściwych służb, inspekcji, straży i</w:t>
            </w:r>
            <w:r>
              <w:t> </w:t>
            </w:r>
            <w:r>
              <w:t>innych jednostek w</w:t>
            </w:r>
            <w:r>
              <w:t> </w:t>
            </w:r>
            <w:r>
              <w:t>niezbędny sprzęt do prowadzenia działań ratowniczych na terenie miasta.</w:t>
            </w:r>
          </w:p>
          <w:p>
            <w:pPr>
              <w:jc w:val="left"/>
            </w:pPr>
            <w:r>
              <w:t>5. Przeprowadzanie cyklicznych treningów i</w:t>
            </w:r>
            <w:r>
              <w:t> </w:t>
            </w:r>
            <w:r>
              <w:t>ćwiczeń w</w:t>
            </w:r>
            <w:r>
              <w:t> </w:t>
            </w:r>
            <w:r>
              <w:t>zakresie współdziałania służb inspekcji straży i</w:t>
            </w:r>
            <w:r>
              <w:t> </w:t>
            </w:r>
            <w:r>
              <w:t>innych jednostek podczas prowadzenia akcji ratowniczych w</w:t>
            </w:r>
            <w:r>
              <w:t> </w:t>
            </w:r>
            <w:r>
              <w:t>przypadku zaistnienia zagrożenia kryzysowego.</w:t>
            </w:r>
          </w:p>
        </w:tc>
        <w:tc>
          <w:tcPr>
            <w:tcW w:w="2445" w:type="dxa"/>
            <w:gridSpan w:val="2"/>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 xml:space="preserve">Wydział Zarządzania Kryzysowego </w:t>
            </w:r>
          </w:p>
        </w:tc>
      </w:tr>
      <w:tr>
        <w:tblPrEx>
          <w:tblW w:w="5000" w:type="pct"/>
          <w:tblLayout w:type="fixed"/>
          <w:tblCellMar>
            <w:left w:w="108" w:type="dxa"/>
            <w:right w:w="108" w:type="dxa"/>
          </w:tblCellMar>
        </w:tblPrEx>
        <w:trPr>
          <w:trHeight w:val="1050"/>
        </w:trPr>
        <w:tc>
          <w:tcPr>
            <w:tcW w:w="10080" w:type="dxa"/>
            <w:gridSpan w:val="9"/>
            <w:tcBorders>
              <w:top w:val="single" w:sz="4" w:space="0" w:color="auto"/>
              <w:left w:val="single" w:sz="4" w:space="0" w:color="auto"/>
              <w:bottom w:val="single" w:sz="2" w:space="0" w:color="auto"/>
              <w:right w:val="single" w:sz="4" w:space="0" w:color="auto"/>
            </w:tcBorders>
            <w:noWrap w:val="0"/>
            <w:tcMar>
              <w:top w:w="5" w:type="dxa"/>
              <w:left w:w="5" w:type="dxa"/>
              <w:bottom w:w="5" w:type="dxa"/>
              <w:right w:w="5" w:type="dxa"/>
            </w:tcMar>
            <w:textDirection w:val="lrTb"/>
            <w:vAlign w:val="top"/>
            <w:hideMark/>
          </w:tcPr>
          <w:p w:rsidR="00A77B3E">
            <w:pPr>
              <w:spacing w:before="120" w:after="120"/>
              <w:jc w:val="left"/>
              <w:rPr>
                <w:rFonts w:ascii="Times New Roman" w:eastAsia="Times New Roman" w:hAnsi="Times New Roman" w:cs="Times New Roman"/>
                <w:b w:val="0"/>
                <w:i w:val="0"/>
                <w:caps w:val="0"/>
                <w:strike w:val="0"/>
                <w:color w:val="auto"/>
                <w:sz w:val="22"/>
                <w:u w:val="none"/>
                <w:vertAlign w:val="baseline"/>
              </w:rPr>
            </w:pPr>
            <w:r>
              <w:t>Wskaźniki satysfakcji:</w:t>
            </w:r>
          </w:p>
          <w:p>
            <w:pPr>
              <w:jc w:val="left"/>
            </w:pPr>
            <w:r>
              <w:t>1)</w:t>
            </w:r>
            <w:r>
              <w:t> </w:t>
            </w:r>
            <w:r>
              <w:t>ograniczenie ilości pożarów na terenie miasta w kolejnych latach realizacji programu;</w:t>
            </w:r>
          </w:p>
          <w:p>
            <w:pPr>
              <w:jc w:val="left"/>
            </w:pPr>
            <w:r>
              <w:t>2)</w:t>
            </w:r>
            <w:r>
              <w:t> </w:t>
            </w:r>
            <w:r>
              <w:t>ograniczenie liczby zdarzeń powstałych w wyniku użytkowania niesprawnych urządzeń grzewczo-kominowych w kolejnych latach realizacji programu;</w:t>
            </w:r>
          </w:p>
          <w:p>
            <w:pPr>
              <w:jc w:val="left"/>
            </w:pPr>
            <w:r>
              <w:t>3)</w:t>
            </w:r>
            <w:r>
              <w:t> </w:t>
            </w:r>
            <w:r>
              <w:t>ograniczenia liczby zatruć tlenkiem węgla w kolejnych latach realizacji programu.</w:t>
            </w:r>
          </w:p>
          <w:p>
            <w:pPr>
              <w:jc w:val="left"/>
            </w:pPr>
            <w:r>
              <w:t>Podmiot wiodący: Komenda Miejska Straży Pożarnej, Wydział Zarządzania Kryzysowego</w:t>
            </w:r>
          </w:p>
        </w:tc>
      </w:tr>
    </w:tbl>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sz w:val="22"/>
        </w:rPr>
        <w:t>§ 7. </w:t>
      </w:r>
      <w:r>
        <w:rPr>
          <w:rFonts w:ascii="Times New Roman" w:eastAsia="Times New Roman" w:hAnsi="Times New Roman" w:cs="Times New Roman"/>
          <w:b w:val="0"/>
          <w:i w:val="0"/>
          <w:caps w:val="0"/>
          <w:strike w:val="0"/>
          <w:color w:val="auto"/>
          <w:sz w:val="22"/>
          <w:u w:val="none"/>
          <w:vertAlign w:val="baseline"/>
        </w:rPr>
        <w:t>Podsumowanie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Partnerzy programu wyznaczeni jako podmioty wiodące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realizacji poszczególnych kierunków działań zobowiązani będą do składania rocznych sprawozdań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wykonanych przedsięwzięć Miejskiego Programu Zapobiegania Przestępczości oraz Ochrony Bezpieczeństwa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Porządku – Prezydentowi Miasta.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vertAlign w:val="baseline"/>
        </w:rPr>
        <w:t>Do wykonania poszczególnych zadań programu zobowiązani zostali wyznaczeni koordynatorzy zgodnie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posiadanymi kompetencjami, a</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ponadto realizacja przedsięwzięć programu odbywać się będzie m.in.</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ramach: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Gminnego Programu Profilaktyki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Rozwiązywania Problemów Alkoholowych na lata 2021-2023;</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auto"/>
          <w:sz w:val="22"/>
          <w:u w:val="none"/>
          <w:vertAlign w:val="baseline"/>
        </w:rPr>
        <w:t>Bytomskiego Programu Przeciwdziałania Narkomanii;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vertAlign w:val="baseline"/>
        </w:rPr>
        <w:t>Strategii Rozwiązywania Problemów Społecznych;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auto"/>
          <w:sz w:val="22"/>
          <w:u w:val="none"/>
          <w:vertAlign w:val="baseline"/>
        </w:rPr>
        <w:t>Rządowego Programu Ograniczania Przestępczości „Razem bezpieczniej” im. Władysława Stasiaka na lata 2021-2023.</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auto"/>
          <w:sz w:val="22"/>
          <w:u w:val="none"/>
          <w:vertAlign w:val="baseline"/>
        </w:rPr>
        <w:t>Miejski Program Zapobiegania Przestępczości oraz Ochrony Bezpieczeństwa Obywateli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Porządku Publicznego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Bytomiu na lata 2021-2023 powinien stanowić narzędzie wspierające realizację ustawowych działań samorządu terytorialnego na rzecz poprawy bezpieczeństwa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porządku publicznego na terenie miasta Bytomia.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auto"/>
          <w:sz w:val="22"/>
          <w:u w:val="none"/>
          <w:vertAlign w:val="baseline"/>
        </w:rPr>
        <w:sectPr>
          <w:footerReference w:type="default" r:id="rId5"/>
          <w:endnotePr>
            <w:numFmt w:val="decimal"/>
          </w:endnotePr>
          <w:type w:val="nextPage"/>
          <w:pgSz w:w="11906" w:h="16838"/>
          <w:pgMar w:top="1417" w:right="1020" w:bottom="992" w:left="1020" w:header="708" w:footer="708" w:gutter="0"/>
          <w:cols w:space="708"/>
          <w:docGrid w:linePitch="360"/>
        </w:sect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auto"/>
          <w:sz w:val="22"/>
          <w:u w:val="none"/>
          <w:vertAlign w:val="baseline"/>
        </w:rPr>
        <w:t>Roczne sprawozdanie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realizacji Miejskiego Programu Zapobiegania Przestępczości oraz Ochrony Bezpieczeństwa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Porządku Prezydent Miasta przedstawia Radzie Miejskiej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Bytomiu do dnia 31</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marca roku następnego.</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jc w:val="both"/>
        <w:rPr>
          <w:szCs w:val="20"/>
        </w:rPr>
      </w:pPr>
      <w:r>
        <w:rPr>
          <w:szCs w:val="20"/>
        </w:rPr>
        <w:t>Zgodnie z art. 12 pkt 9b oraz art. 92 ust. 1 pkt 1 i ust. 3 ustawy o samorządzie powiatowym</w:t>
      </w:r>
      <w:r>
        <w:rPr>
          <w:szCs w:val="20"/>
        </w:rPr>
        <w:t xml:space="preserve"> </w:t>
      </w:r>
      <w:r>
        <w:rPr>
          <w:szCs w:val="20"/>
        </w:rPr>
        <w:t>(Dz. U. z 2020 r. poz 920) do wyłącznej właściwości rady powiatu należy uchwalenie powiatowego programu zapobiegania przestępczości oraz ochrony bezpieczeństwa obywateli i porządku publicznego. Na podstawie art. 38a ust. 2 ww. ustawy, przygotowanie projektu ww. programu należy do zadań Komisji Bezpieczeństwa i Porządku.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jc w:val="both"/>
        <w:rPr>
          <w:szCs w:val="20"/>
        </w:rPr>
      </w:pPr>
      <w:r>
        <w:rPr>
          <w:szCs w:val="20"/>
        </w:rPr>
        <w:t>Z dniem 31 grudnia 2020 roku upływa termin realizacji Miejskiego Programu Zapobiegania Przestępczości oraz Ochrony Bezpieczeństwa Obywateli i Porządku Publicznego w Bytomiu na lata 2018-2020, przyjętego uchwałą Rady Miejskiej w Bytomiu nr LXIV/840/18 z dnia 28 maja 2018 r.</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jc w:val="both"/>
        <w:rPr>
          <w:szCs w:val="20"/>
        </w:rPr>
      </w:pPr>
      <w:r>
        <w:rPr>
          <w:szCs w:val="20"/>
        </w:rPr>
        <w:t xml:space="preserve">Zgodnie ze swoimi kompetencjami ustawowymi, Komisja Bezpieczeństwa i Porządku opracowała nowy program pn. </w:t>
      </w:r>
      <w:r>
        <w:rPr>
          <w:szCs w:val="20"/>
        </w:rPr>
        <w:t>„</w:t>
      </w:r>
      <w:r>
        <w:rPr>
          <w:szCs w:val="20"/>
        </w:rPr>
        <w:t>Miejski Program Zapobiegania Przestępczości oraz Ochrony Bezpieczeństwa Obywateli i Porządku Publicznego na lata 2021-2023</w:t>
      </w:r>
      <w:r>
        <w:rPr>
          <w:szCs w:val="20"/>
        </w:rPr>
        <w:t>”</w:t>
      </w:r>
      <w:r>
        <w:rPr>
          <w:szCs w:val="20"/>
        </w:rPr>
        <w:t>.</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jc w:val="both"/>
        <w:rPr>
          <w:szCs w:val="20"/>
        </w:rPr>
      </w:pPr>
      <w:r>
        <w:rPr>
          <w:szCs w:val="20"/>
        </w:rPr>
        <w:t>Uwzględniając powyższe, wnoszę o podjęcie przedmiotowej uchwały.</w:t>
      </w:r>
    </w:p>
    <w:sectPr>
      <w:footerReference w:type="default" r:id="rId6"/>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5" w:type="dxa"/>
            <w:bottom w:w="5" w:type="dxa"/>
            <w:right w:w="5" w:type="dxa"/>
          </w:tcMar>
          <w:textDirection w:val="lrTb"/>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D159185D-C037-4C58-9FA7-440A4057CA1E. Podpisany</w:t>
          </w:r>
        </w:p>
      </w:tc>
      <w:tc>
        <w:tcPr>
          <w:tcW w:w="3289" w:type="dxa"/>
          <w:tcBorders>
            <w:top w:val="single" w:sz="4" w:space="0" w:color="auto"/>
            <w:left w:val="nil"/>
            <w:bottom w:val="nil"/>
            <w:right w:val="nil"/>
          </w:tcBorders>
          <w:noWrap w:val="0"/>
          <w:tcMar>
            <w:top w:w="100" w:type="dxa"/>
            <w:left w:w="5" w:type="dxa"/>
            <w:bottom w:w="5" w:type="dxa"/>
            <w:right w:w="5" w:type="dxa"/>
          </w:tcMar>
          <w:textDirection w:val="lrTb"/>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5" w:type="dxa"/>
            <w:bottom w:w="5" w:type="dxa"/>
            <w:right w:w="5" w:type="dxa"/>
          </w:tcMar>
          <w:textDirection w:val="lrTb"/>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D159185D-C037-4C58-9FA7-440A4057CA1E. Podpisany</w:t>
          </w:r>
        </w:p>
      </w:tc>
      <w:tc>
        <w:tcPr>
          <w:tcW w:w="3289" w:type="dxa"/>
          <w:tcBorders>
            <w:top w:val="single" w:sz="4" w:space="0" w:color="auto"/>
            <w:left w:val="nil"/>
            <w:bottom w:val="nil"/>
            <w:right w:val="nil"/>
          </w:tcBorders>
          <w:noWrap w:val="0"/>
          <w:tcMar>
            <w:top w:w="100" w:type="dxa"/>
            <w:left w:w="5" w:type="dxa"/>
            <w:bottom w:w="5" w:type="dxa"/>
            <w:right w:w="5" w:type="dxa"/>
          </w:tcMar>
          <w:textDirection w:val="lrTb"/>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5" w:type="dxa"/>
            <w:bottom w:w="5" w:type="dxa"/>
            <w:right w:w="5" w:type="dxa"/>
          </w:tcMar>
          <w:textDirection w:val="lrTb"/>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D159185D-C037-4C58-9FA7-440A4057CA1E. Podpisany</w:t>
          </w:r>
        </w:p>
      </w:tc>
      <w:tc>
        <w:tcPr>
          <w:tcW w:w="3289" w:type="dxa"/>
          <w:tcBorders>
            <w:top w:val="single" w:sz="4" w:space="0" w:color="auto"/>
            <w:left w:val="nil"/>
            <w:bottom w:val="nil"/>
            <w:right w:val="nil"/>
          </w:tcBorders>
          <w:noWrap w:val="0"/>
          <w:tcMar>
            <w:top w:w="100" w:type="dxa"/>
            <w:left w:w="5" w:type="dxa"/>
            <w:bottom w:w="5" w:type="dxa"/>
            <w:right w:w="5" w:type="dxa"/>
          </w:tcMar>
          <w:textDirection w:val="lrTb"/>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XXXVIII/534/21 z dnia 25 stycznia 2021 r.</dc:title>
  <dc:subject>w sprawie przyjęcia Miejskiego Programu Zapobiegania Przestępczości oraz Ochrony Bezpieczeństwa Obywateli i^Porządku Publicznego w^Bytomiu na lata 2021-2023</dc:subject>
  <dc:creator>masocha</dc:creator>
  <cp:lastModifiedBy>masocha</cp:lastModifiedBy>
  <cp:revision>1</cp:revision>
  <dcterms:created xsi:type="dcterms:W3CDTF">2021-01-26T13:39:40Z</dcterms:created>
  <dcterms:modified xsi:type="dcterms:W3CDTF">2021-01-26T13:39:40Z</dcterms:modified>
  <cp:category>Akt prawny</cp:category>
</cp:coreProperties>
</file>