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1272B">
      <w:pPr>
        <w:jc w:val="center"/>
        <w:rPr>
          <w:b/>
          <w:caps/>
        </w:rPr>
      </w:pPr>
      <w:r>
        <w:rPr>
          <w:b/>
          <w:caps/>
        </w:rPr>
        <w:t>Uchwała Nr LXXIX/996/23</w:t>
      </w:r>
      <w:r>
        <w:rPr>
          <w:b/>
          <w:caps/>
        </w:rPr>
        <w:br/>
        <w:t>Rady Miejskiej w Bytomiu</w:t>
      </w:r>
    </w:p>
    <w:p w:rsidR="00A77B3E" w:rsidRDefault="0091272B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91272B">
      <w:pPr>
        <w:keepNext/>
        <w:spacing w:after="480"/>
        <w:jc w:val="center"/>
      </w:pPr>
      <w:r>
        <w:rPr>
          <w:b/>
        </w:rPr>
        <w:t>w sprawie uchwalenia miejscowego planu zagospodarowania przestrzennego dla terenu położonego w rejonie ulicy Żołnierskiej w Bytomiu – etap II – część zachodnia</w:t>
      </w:r>
    </w:p>
    <w:p w:rsidR="00A77B3E" w:rsidRDefault="0091272B">
      <w:pPr>
        <w:keepLines/>
        <w:spacing w:before="120" w:after="120"/>
        <w:ind w:firstLine="227"/>
      </w:pPr>
      <w:r>
        <w:t xml:space="preserve">Na podstawie art. 18 </w:t>
      </w:r>
      <w:r>
        <w:t>ust. 2 pkt 5, art. 40 ust. 1 i art. 41 ust. 1 ustawy z dnia 8 marca 1990 r. o samorządzie gminnym (Dz. U. z 2023 r. poz. 40, z późn. zm.) art. 3 ust. 1, art. 20 ust. 1 ustawy z dnia 27 marca 2003 r. o planowaniu i zagospodarowaniu przestrzennym (Dz. U. z 2</w:t>
      </w:r>
      <w:r>
        <w:t>022 r. poz. 503, z późn. zm.), w związku z uchwałą nr VIII/120/15 Rady Miejskiej w Bytomiu z dnia 27 kwietnia 2015 r. w sprawie przystąpienia do sporządzenia miejscowego planu zagospodarowania przestrzennego dla terenu położonego w rejonie ulicy Żołnierski</w:t>
      </w:r>
      <w:r>
        <w:t>ej w Bytomiu stwierdza się, że miejscowy plan zagospodarowania przestrzennego dla terenu położonego w rejonie ulicy Żołnierskiej w Bytomiu – etap II – część zachodnia nie narusza ustaleń „Studium uwarunkowań i kierunków zagospodarowania przestrzennego Gmin</w:t>
      </w:r>
      <w:r>
        <w:t>y Bytom”, przyjętego uchwałą nr XVI/204/11 Rady Miejskiej w Bytomiu z dnia 24 sierpnia 2011 r., z późn. zm. i uchwala się, co następuje:</w:t>
      </w:r>
    </w:p>
    <w:p w:rsidR="00A77B3E" w:rsidRDefault="0091272B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ogólne</w:t>
      </w:r>
    </w:p>
    <w:p w:rsidR="00A77B3E" w:rsidRDefault="0091272B">
      <w:pPr>
        <w:keepLines/>
        <w:spacing w:before="120" w:after="120"/>
        <w:ind w:firstLine="340"/>
      </w:pPr>
      <w:r>
        <w:rPr>
          <w:b/>
        </w:rPr>
        <w:t>§ 1. </w:t>
      </w:r>
      <w:r>
        <w:t>Na miejscowy plan zagospodarowania przestrzennego dla terenu położonego w rejonie ulic</w:t>
      </w:r>
      <w:r>
        <w:t>y Żołnierskiej w Bytomiu – etap II – część zachodnia, zwany dalej „planem”, składają się ustalenia zawarte w treści niniejszej uchwały wraz z następującymi załącznikami:</w:t>
      </w:r>
    </w:p>
    <w:p w:rsidR="00A77B3E" w:rsidRDefault="0091272B">
      <w:pPr>
        <w:spacing w:before="120" w:after="120"/>
        <w:ind w:left="340" w:hanging="227"/>
      </w:pPr>
      <w:r>
        <w:t>1) </w:t>
      </w:r>
      <w:r>
        <w:t xml:space="preserve">załącznik nr 1 – rysunek planu, stanowiący część graficzną ustaleń planu, wykonany </w:t>
      </w:r>
      <w:r>
        <w:t>na kopii mapy zasadniczej w skali 1:1000;</w:t>
      </w:r>
    </w:p>
    <w:p w:rsidR="00A77B3E" w:rsidRDefault="0091272B">
      <w:pPr>
        <w:spacing w:before="120" w:after="120"/>
        <w:ind w:left="340" w:hanging="227"/>
      </w:pPr>
      <w:r>
        <w:t>2) </w:t>
      </w:r>
      <w:r>
        <w:t>załącznik nr 2 – rozstrzygnięcie o sposobie rozpatrzenia nieuwzględnionych uwag do projektu planu;</w:t>
      </w:r>
    </w:p>
    <w:p w:rsidR="00A77B3E" w:rsidRDefault="0091272B">
      <w:pPr>
        <w:spacing w:before="120" w:after="120"/>
        <w:ind w:left="340" w:hanging="227"/>
      </w:pPr>
      <w:r>
        <w:t>3) </w:t>
      </w:r>
      <w:r>
        <w:t>załącznik nr 3 – rozstrzygnięcie o sposobie realizacji, zapisanych w planie inwestycji z zakresu infrastruktu</w:t>
      </w:r>
      <w:r>
        <w:t>ry technicznej, które należą do zadań własnych gminy oraz zasadach ich finansowania, zgodnie z przepisami o finansach publicznych;</w:t>
      </w:r>
    </w:p>
    <w:p w:rsidR="00A77B3E" w:rsidRDefault="0091272B">
      <w:pPr>
        <w:spacing w:before="120" w:after="120"/>
        <w:ind w:left="340" w:hanging="227"/>
      </w:pPr>
      <w:r>
        <w:t>4) </w:t>
      </w:r>
      <w:r>
        <w:t>załącznik nr 4 – dane przestrzenne dla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</w:t>
      </w:r>
      <w:r>
        <w:t>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Rozdział 2 – Zasady ochrony i kształtowania ładu przestrzennego;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 kulturowego;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Rozdział 4 – Zasady ochrony dziedzictwa kulturowego i zabytków oraz dóbr kultury współczesnej;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Rozdział 5 – Wymagania wynikające z potrzeb kształtowania przestrzeni publicznych;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Ustalenia dotyczące granic i sposobów zagospodarowania tere</w:t>
      </w:r>
      <w:r>
        <w:rPr>
          <w:color w:val="000000"/>
          <w:u w:color="000000"/>
        </w:rPr>
        <w:t xml:space="preserve">nów lub obiektów podlegających ochronie, ustalonych na podstawie odrębnych przepisów, w tym </w:t>
      </w:r>
      <w:r>
        <w:rPr>
          <w:color w:val="000000"/>
          <w:u w:color="000000"/>
        </w:rPr>
        <w:lastRenderedPageBreak/>
        <w:t>terenów górniczych, a także obszarów szczególnego zagrożenia powodzią oraz obszarów osuwania się mas ziemnych;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Szczegółowe zasady i warunki scalania</w:t>
      </w:r>
      <w:r>
        <w:rPr>
          <w:color w:val="000000"/>
          <w:u w:color="000000"/>
        </w:rPr>
        <w:t xml:space="preserve"> i podziału nieruchomości objętych planem miejscowym, w tym parametry działek uzyskiwanych w wyniku scalania i podziału nieruchomości;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Rozdział 8 – Szczególne warunki zagospodarowania terenów oraz ograniczenia w ich użytkowaniu, w tym zakaz zabudowy;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9)</w:t>
      </w:r>
      <w:r>
        <w:t> </w:t>
      </w:r>
      <w:r>
        <w:rPr>
          <w:color w:val="000000"/>
          <w:u w:color="000000"/>
        </w:rPr>
        <w:t>Rozdział 9 – Zasady modernizacji, rozbudowy i budowy systemów komunikacji i infrastruktury technicznej;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Rozdział 10 – Sposób i termin tymczasowego zagospodarowania, urządzania i użytkowania terenów;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Rozdział 11 – Stawki procentowe, na podstawie </w:t>
      </w:r>
      <w:r>
        <w:rPr>
          <w:color w:val="000000"/>
          <w:u w:color="000000"/>
        </w:rPr>
        <w:t>których ustala się opłatę, o której mowa w art. 36 ust. 4 ustawy o planowaniu i zagospodarowaniu przestrzennym;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Rozdział 12 – Ustalenia szczegółowe dla terenów o różnym przeznaczeniu lub różnych zasadach zagospodarowania;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Przepisy koń</w:t>
      </w:r>
      <w:r>
        <w:rPr>
          <w:color w:val="000000"/>
          <w:u w:color="000000"/>
        </w:rPr>
        <w:t>cowe.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planem;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linie rozgraniczające tereny o różnym przeznaczeniu lub różnych zasadach zagospodarowania;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symbole cyfrowo-literowe określające p</w:t>
      </w:r>
      <w:r>
        <w:rPr>
          <w:color w:val="000000"/>
          <w:u w:color="000000"/>
        </w:rPr>
        <w:t>rzeznaczenie terenów wyznaczonych liniami rozgraniczającymi: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MN – teren zabudowy mieszkaniowej jednorodzinnej,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MU – teren zabudowy mieszkaniowo-usługowej,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 – teren zabudowy usługowej,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 – teren usług sportu i rekreacji,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ZC – teren cmentarz</w:t>
      </w:r>
      <w:r>
        <w:rPr>
          <w:color w:val="000000"/>
          <w:u w:color="000000"/>
        </w:rPr>
        <w:t>a,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ZL – teren lasów,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ZN – teren zieleni nieurządzonej,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ZP – teren zieleni urządzonej,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KDG – teren drogi publicznej klasy głównej,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KDZ – teren drogi publicznej klasy zbiorczej,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KDD – teren drogi publicznej klasy dojazdowej;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obiekt budowlany o wartościach kulturowych, ujęty w gminnej ewidencji zabytków;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obiekt małej architektury o wartościach kulturowych – krucyfiks, ujęty w gminnej ewidencji zabytków;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strefa ochronna (techniczna) dla </w:t>
      </w:r>
      <w:r>
        <w:rPr>
          <w:color w:val="000000"/>
          <w:u w:color="000000"/>
        </w:rPr>
        <w:t>wodociągu magistralnego DN 1000 mm.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Rysunek planu zawiera następujące oznaczenia lub informacje wynikające z przepisów odrębnych: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cały obszar planu znajduje się w granicach Głównego Zbiornika Wód Podziemnych GZWP nr 330 Gliwice;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projektowana grani</w:t>
      </w:r>
      <w:r>
        <w:rPr>
          <w:color w:val="000000"/>
          <w:u w:color="000000"/>
        </w:rPr>
        <w:t>ca i obszar ochronny Głównego Zbiornika Wód Podziemnych GZWP nr 330 Gliwice;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granica i obszar Specjalnego Obszaru Ochrony Siedlisk Natura 2000 „Podziemia Tarnogórsko-Bytomskie”;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strefy w odległości 50,0 m i 150,0 m od granicy istniejącego cmentarza;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stanowisko archeologiczne wraz z numerem porządkowym.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Rysunek planu, poza treścią mapy zasadniczej, zawiera następujące informacje niebędące ustaleniami planu: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administracyjna miasta;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granice i numery działek ewidencyjnych;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zlikwidow</w:t>
      </w:r>
      <w:r>
        <w:rPr>
          <w:color w:val="000000"/>
          <w:u w:color="000000"/>
        </w:rPr>
        <w:t>ane szyby i szybiki;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orientacyjny zasięg zakończonej płytkiej eksploatacji rudnej;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orientacyjny zasięg płytkich wód gruntowych o głębokości do 1,0 m p. p. t.;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wodociąg magistralny DN 1000 mm;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odcinek wodociągu magistralnego DN 1000 mm przewidzi</w:t>
      </w:r>
      <w:r>
        <w:rPr>
          <w:color w:val="000000"/>
          <w:u w:color="000000"/>
        </w:rPr>
        <w:t>any do rozbiórki;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główna projektowana ścieżka rowerowa;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gazociąg średniego ciśnienia stal PE.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ustaleniach niniejszej uchwały jest mowa o: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dachu płaskim – należy przez to rozumieć dach o kącie nachylenia połaci dachowych </w:t>
      </w:r>
      <w:r>
        <w:rPr>
          <w:color w:val="000000"/>
          <w:u w:color="000000"/>
        </w:rPr>
        <w:t>w stosunku do płaszczyzny poziomej nie większym niż 12°;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drobnej wytwórczości – należy przez to rozumieć pozarolniczą działalność gospodarczą, wytwarzającą dobra lub usługi na skalę lokalną, obejmującą w szczególności następujące podgrupy działalności: </w:t>
      </w:r>
      <w:r>
        <w:rPr>
          <w:color w:val="000000"/>
          <w:u w:color="000000"/>
        </w:rPr>
        <w:t>rzemiosło, chałupnictwo, wytwórczość ludową i artystyczną, a także cukiernie, piekarnie, itp.;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działce budowlanej – należy przez to rozumieć działkę, o której mowa w ustawie z dnia 27 marca 2003 r. o planowaniu i zagospodarowaniu przestrzennym;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eleme</w:t>
      </w:r>
      <w:r>
        <w:rPr>
          <w:color w:val="000000"/>
          <w:u w:color="000000"/>
        </w:rPr>
        <w:t>ntach wyposażenia miejskiego – należy przez to rozumieć elementy zagospodarowania, takie jak: siedziska, ławki, zegary uliczne, latarnie, lampy oświetleniowe, stojaki rowerowe, pergole, barierki uliczne, słupki i ograniczniki parkowania na chodnikach, doni</w:t>
      </w:r>
      <w:r>
        <w:rPr>
          <w:color w:val="000000"/>
          <w:u w:color="000000"/>
        </w:rPr>
        <w:t>ce, słupy informacyjno-ogłoszeniowe, wykorzystywane przez władze miasta do promocji miasta i informowania mieszkańców o ważnych dla miasta wydarzeniach oraz elementy Systemu Identyfikacji Miejskiej;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elementach architektury parkowej – należy przez to roz</w:t>
      </w:r>
      <w:r>
        <w:rPr>
          <w:color w:val="000000"/>
          <w:u w:color="000000"/>
        </w:rPr>
        <w:t>umieć małą architekturę, altany, ozdobne oświetlenie, fontanny, rzeźby, pomniki, ogólnodostępne place zabaw dla dzieci z wyposażeniem;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garażu zbiorowym – należy przez to rozumieć zespół garaży jednokondygnacyjnych o jednolitej formie architektonicznej, </w:t>
      </w:r>
      <w:r>
        <w:rPr>
          <w:color w:val="000000"/>
          <w:u w:color="000000"/>
        </w:rPr>
        <w:t>zapewniający minimum 5 stanowisk postojowych;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istniejącej zabudowie – należy przez to rozumieć zabudowę wzniesioną przed dniem wejścia w życie planu lub taką, dla której do dnia wejścia w życie planu została wydana prawomocna decyzja o pozwoleniu na bud</w:t>
      </w:r>
      <w:r>
        <w:rPr>
          <w:color w:val="000000"/>
          <w:u w:color="000000"/>
        </w:rPr>
        <w:t>owę;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małym domu mieszkalnym – należy przez to rozumieć budynek mieszkalny wielorodzinny o nie więcej niż 4 lokalach mieszkalnych;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nieprzekraczalnej linii zabudowy – należy przez to rozumieć wyznaczoną na rysunku planu linię ograniczającą część terenu</w:t>
      </w:r>
      <w:r>
        <w:rPr>
          <w:color w:val="000000"/>
          <w:u w:color="000000"/>
        </w:rPr>
        <w:t xml:space="preserve">, w obrębie którego możliwe jest wznoszenie nadziemnych części budynków, przy czym dopuszczalne jest wysunięcie poza wyznaczoną linię zabudowy, na odległość nie większą niż 1,3 m, elementów nadwieszeń takich jak: nieobudowane balkony, daszki nad wejściami </w:t>
      </w:r>
      <w:r>
        <w:rPr>
          <w:color w:val="000000"/>
          <w:u w:color="000000"/>
        </w:rPr>
        <w:t>do budynków, gzymsy, wykusze i inne elementy wystroju architektonicznego elewacji, a także, jeśli ustalenia planu nie stanowią inaczej, elementy wejść do budynku oraz grubości docieplenia w przypadku istniejącego budynku; nieprzekraczalna linia zabudowy ni</w:t>
      </w:r>
      <w:r>
        <w:rPr>
          <w:color w:val="000000"/>
          <w:u w:color="000000"/>
        </w:rPr>
        <w:t>e dotyczy podziemnych części budynków;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obszarze – należy przez to rozumieć cały obszar objęty niniejszym planem;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minimalnym wskaźniku powierzchni biologicznie czynnej – należy przez to </w:t>
      </w:r>
      <w:r>
        <w:rPr>
          <w:color w:val="000000"/>
          <w:u w:color="000000"/>
        </w:rPr>
        <w:t>rozumieć minimalny udział procentowy terenu biologicznie czynnego, o którym mowa w § 3 pkt 22 rozporządzenia Ministra Infrastruktury z dnia 12 kwietnia 2002 r. w sprawie warunków technicznych, jakim powinny odpowiadać budynki i ich usytuowanie, w odniesien</w:t>
      </w:r>
      <w:r>
        <w:rPr>
          <w:color w:val="000000"/>
          <w:u w:color="000000"/>
        </w:rPr>
        <w:t>iu do powierzchni działki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 intensywności zabudowy – należy przez to rozumieć udział powierzchni całkowitej zabudowy w odniesieniu do powierzchni działki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wskaźniku powierzchni zabudowy – należy przez to rozumieć udział</w:t>
      </w:r>
      <w:r>
        <w:rPr>
          <w:color w:val="000000"/>
          <w:u w:color="000000"/>
        </w:rPr>
        <w:t xml:space="preserve"> procentowy powierzchni obliczonej po obrysie zewnętrznym budynku w poziomie terenu bez części obiektów budowlanych niewystających ponad powierzchnię terenu, schodów zewnętrznych, tarasów, podjazdów, w odniesieniu do powierzchni działki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</w:t>
      </w:r>
      <w:r>
        <w:rPr>
          <w:color w:val="000000"/>
          <w:u w:color="000000"/>
        </w:rPr>
        <w:t>kości zabudowy – należy przez to rozumieć:</w:t>
      </w:r>
    </w:p>
    <w:p w:rsidR="00A77B3E" w:rsidRDefault="0091272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wysokość budynku, o której mowa w § 6 rozporządzenia Ministra Infrastruktury z dnia 12 kwietnia 2002 r. w sprawie warunków technicznych, jakim powinny odpowiadać budynki i ich usytuowanie,</w:t>
      </w:r>
    </w:p>
    <w:p w:rsidR="00A77B3E" w:rsidRDefault="0091272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wysokość obiektów bu</w:t>
      </w:r>
      <w:r>
        <w:rPr>
          <w:color w:val="000000"/>
          <w:u w:color="000000"/>
        </w:rPr>
        <w:t>dowlanych, o których mowa w art. 3 pkt 1 ustawy z dnia 7 lipca 1994 r. Prawo budowlane, mierzoną od średniego poziomu terenu na styku z obiektem budowlanym do najwyżej położonej części stanowiącej element tego obiektu;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parkingu terenowym – należy przez</w:t>
      </w:r>
      <w:r>
        <w:rPr>
          <w:color w:val="000000"/>
          <w:u w:color="000000"/>
        </w:rPr>
        <w:t xml:space="preserve"> to rozumieć miejsce lub zgrupowanie miejsc parkingowych dla pojazdów, określone w ustaleniach szczegółowych, opierające się na gruncie lub stropie garażu podziemnego i niebędące elementem pasa drogowego;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przepisach odrębnych lub przywołanych w ustalen</w:t>
      </w:r>
      <w:r>
        <w:rPr>
          <w:color w:val="000000"/>
          <w:u w:color="000000"/>
        </w:rPr>
        <w:t>iach planu ustawach i rozporządzeniach – należy przez to rozumieć odpowiednie, obowiązujące na dzień uchwalenia niniejszego planu, przepisy ustaw wraz z ich aktami wykonawczymi;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Systemie Identyfikacji Miejskiej – należy przez to rozumieć kompleksowo op</w:t>
      </w:r>
      <w:r>
        <w:rPr>
          <w:color w:val="000000"/>
          <w:u w:color="000000"/>
        </w:rPr>
        <w:t>racowany dla całego miasta lub dzielnicy system jednolitych stylistycznie elementów informacyjnych ułatwiających orientację w przestrzeni miasta, składający się z elementów takich jak: tablice z nazwami ulic i ich nośniki, tablice kierujące do istotnych pu</w:t>
      </w:r>
      <w:r>
        <w:rPr>
          <w:color w:val="000000"/>
          <w:u w:color="000000"/>
        </w:rPr>
        <w:t xml:space="preserve">nktów miasta </w:t>
      </w:r>
      <w:r>
        <w:rPr>
          <w:color w:val="000000"/>
          <w:u w:color="000000"/>
        </w:rPr>
        <w:lastRenderedPageBreak/>
        <w:t>(np. muzea, szpitale, itp.), nośniki z planem miasta lub dzielnicy, nośniki informacji o istotnych elementach krajobrazu miejskiego (tj. obiekcie, patronie drogi, itp.);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przeznaczeniu: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podstawowym – należy przez to rozumieć ustalony pla</w:t>
      </w:r>
      <w:r>
        <w:rPr>
          <w:color w:val="000000"/>
          <w:u w:color="000000"/>
        </w:rPr>
        <w:t>nem przeważający sposób zagospodarowania i zabudowy powierzchni działki budowlanej w granicach terenu wyznaczonego liniami rozgraniczającymi,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uzupełniającym – należy przez to rozumieć ustalony planem uzupełniający przeznaczenie podstawowe sposób zagospo</w:t>
      </w:r>
      <w:r>
        <w:rPr>
          <w:color w:val="000000"/>
          <w:u w:color="000000"/>
        </w:rPr>
        <w:t>darowania i zabudowy, którego udział wynosi nie więcej niż 49% powierzchni działki budowlanej w granicach terenu wyznaczonego liniami rozgraniczającymi lub może być określony w ustaleniach szczegółowych;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terenie – należy przez to rozumieć fragment obsz</w:t>
      </w:r>
      <w:r>
        <w:rPr>
          <w:color w:val="000000"/>
          <w:u w:color="000000"/>
        </w:rPr>
        <w:t>aru planu o ustalonym przeznaczeniu i zasadach zagospodarowania, wyznaczony na rysunku planu liniami rozgraniczającymi i oznaczony symbolem cyfrowo-literowym służącym identyfikacji ustaleń w tekście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usługach – należy przez to rozumieć działalnoś</w:t>
      </w:r>
      <w:r>
        <w:rPr>
          <w:color w:val="000000"/>
          <w:u w:color="000000"/>
        </w:rPr>
        <w:t>ć służącą zaspokajaniu potrzeb ludności, niezwiązaną z wytwarzaniem dóbr materialnych, obejmującą w szczególności następujące podgrupy usług: usługi administracji, usługi biurowe, usługi gastronomii, usługi handlu, usługi związane z edukacją, kulturą, usłu</w:t>
      </w:r>
      <w:r>
        <w:rPr>
          <w:color w:val="000000"/>
          <w:u w:color="000000"/>
        </w:rPr>
        <w:t>gi sportu, gabinety lekarskie, gabinety terapeutyczne, salony fryzjerskie, salony kosmetyczne, z wykluczeniem: obiektów handlowych o powierzchni sprzedaży większej niż 2 000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usług związanych z handlem pojazdami lub obsługą pojazdów oraz przy </w:t>
      </w:r>
      <w:r>
        <w:rPr>
          <w:color w:val="000000"/>
          <w:u w:color="000000"/>
        </w:rPr>
        <w:t>uwzględnieniu ustaleń szczegółowych;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zieleni izolacyjnej – należy przez to rozumieć odporną na zanieczyszczenia roślinność o przeważającym składzie gatunków drzew i krzewów, których dojrzałe formy osiągają wysokość nie mniejszą niż 2,0 m, ukształtowaną</w:t>
      </w:r>
      <w:r>
        <w:rPr>
          <w:color w:val="000000"/>
          <w:u w:color="000000"/>
        </w:rPr>
        <w:t xml:space="preserve"> w taki sposób, aby spełniać funkcje całorocznej przesłony wizualnej oraz bariery przed zanieczyszczeniami i hałasem;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zieleni nieurządzonej – należy przez to rozumieć ukształtowane w sposób niezaplanowany zespoły zieleni składające się z drzew, krzewów</w:t>
      </w:r>
      <w:r>
        <w:rPr>
          <w:color w:val="000000"/>
          <w:u w:color="000000"/>
        </w:rPr>
        <w:t xml:space="preserve"> i zieleni niskiej;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 xml:space="preserve">zieleni urządzonej – należy przez to rozumieć ukształtowane w sposób zaplanowany zespoły roślinności składające się z drzew, krzewów i zieleni niskiej wraz z obiektami małej architektury, oczkami wodnymi, urządzeniami rekreacyjnymi </w:t>
      </w:r>
      <w:r>
        <w:rPr>
          <w:color w:val="000000"/>
          <w:u w:color="000000"/>
        </w:rPr>
        <w:t>oraz ciągami pieszymi i ścieżkami rowerowymi.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rozumieć zgodnie z definicjami określonymi w przepisach odrębnych.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kształtowania ładu przestrzennego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Zasady zagospodarowania tere</w:t>
      </w:r>
      <w:r>
        <w:rPr>
          <w:color w:val="000000"/>
          <w:u w:color="000000"/>
        </w:rPr>
        <w:t>nów: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stosowania blachy trapezowej lub listew z tworzyw sztucznych do wykończenia elewacji budynków;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realizacji elementów zagospodarowania takich jak: infrastruktura techniczna, urządzenia budowlane, urządzen</w:t>
      </w:r>
      <w:r>
        <w:rPr>
          <w:color w:val="000000"/>
          <w:u w:color="000000"/>
        </w:rPr>
        <w:t>ia sportowo-rekreacyjne, dojazdy, ciągi piesze, pieszo-jezdne i ścieżki rowerowe, zieleń urządzona, zieleń izolacyjna, obiekty małej architektury, elementy Systemu Identyfikacji Miejskiej oraz elementy wyposażenia miejskiego, z zachowaniem pozostałych usta</w:t>
      </w:r>
      <w:r>
        <w:rPr>
          <w:color w:val="000000"/>
          <w:u w:color="000000"/>
        </w:rPr>
        <w:t>leń planu oraz z uwzględnieniem przepisów odrębnych;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dopuszczenie na całym obszarze planu realizacji inwestycji celu publicznego z zakresu łączności publicznej, z uwzględnieniem przepisów Rozdziału 12;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dopuszczenie na całym obszarze planu sytuowania </w:t>
      </w:r>
      <w:r>
        <w:rPr>
          <w:color w:val="000000"/>
          <w:u w:color="000000"/>
        </w:rPr>
        <w:t>budynków na działce budowlanej w odległości 1,5 m od granicy działki lub bezpośrednio przy tej granicy, z zachowaniem pozostałych ustaleń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oznaczone na rysunku planu nieprzekraczalne linie zabudowy nie dotyczą związanych z infrastrukturą techniczn</w:t>
      </w:r>
      <w:r>
        <w:rPr>
          <w:color w:val="000000"/>
          <w:u w:color="000000"/>
        </w:rPr>
        <w:t>ą i telekomunikacyjną: budynków, budowli, obiektów i urządzeń.</w:t>
      </w:r>
    </w:p>
    <w:p w:rsidR="00A77B3E" w:rsidRDefault="0091272B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przyrody i krajobrazu kulturowego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przedsięwzięć stwarzających zagrożenie dla życia lub</w:t>
      </w:r>
      <w:r>
        <w:rPr>
          <w:color w:val="000000"/>
          <w:u w:color="000000"/>
        </w:rPr>
        <w:t xml:space="preserve"> zdrowia ludzi, a w szczególności przedsięwzięć mogących spowodować ryzyko wystąpienia poważnych awarii;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 środowisko, w rozumieniu przepisów rozporządzenia Rady Minis</w:t>
      </w:r>
      <w:r>
        <w:rPr>
          <w:color w:val="000000"/>
          <w:u w:color="000000"/>
        </w:rPr>
        <w:t>trów z dnia 10 września 2019 r. w sprawie przedsięwzięć mogących znacząco oddziaływać na środowisko – z wyłączeniem przedsięwzięć związanych z realizacją i remontami: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infrastruktury technicznej,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inwestycji celu publicznego z </w:t>
      </w:r>
      <w:r>
        <w:rPr>
          <w:color w:val="000000"/>
          <w:u w:color="000000"/>
        </w:rPr>
        <w:t>zakresu łączności publicznej,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podziemnego wydobycia kopalin,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poszukiwania i rozpoznawania złóż kopalin,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instalacji do podziemnego lub naziemnego magazynowania, wyłącznie na terenie oznaczonym symbolem 1U:</w:t>
      </w:r>
    </w:p>
    <w:p w:rsidR="00A77B3E" w:rsidRDefault="0091272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ropy naftowej,</w:t>
      </w:r>
    </w:p>
    <w:p w:rsidR="00A77B3E" w:rsidRDefault="0091272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produktów naftowych,</w:t>
      </w:r>
    </w:p>
    <w:p w:rsidR="00A77B3E" w:rsidRDefault="0091272B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gazów łatwopalnych,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obiektów sportowych, wraz z towarzyszącą im infrastrukturą;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chowu i hodowli zwierząt gospodarskich;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zasięg oddziaływania na środowisko działalności prowadzonej na poszczególnych terenach nie może przekraczać granicy nieru</w:t>
      </w:r>
      <w:r>
        <w:rPr>
          <w:color w:val="000000"/>
          <w:u w:color="000000"/>
        </w:rPr>
        <w:t>chomości, do której prowadzący działalność posiada tytuł prawny.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wskazuje się tereny należące do poszczególnych rodzajów terenów, dla których określono dopuszczalne poziomy hałasu, zgodnie z ustawą z dnia 27 kwietnia</w:t>
      </w:r>
      <w:r>
        <w:rPr>
          <w:color w:val="000000"/>
          <w:u w:color="000000"/>
        </w:rPr>
        <w:t xml:space="preserve"> 2001 r. Prawo ochrony środowiska: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oznaczone symbolami: 1MN, 2MN, 3MN, 4MN, 5MN, 6MN, 7MN, 8MN, 9MN, 10MN, 11MN, 12MN, 13MN, na których obowiązują poziomy hałasu jak dla terenów przeznaczonych pod zabudowę mieszkaniową jednorodzinną,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 xml:space="preserve">tereny </w:t>
      </w:r>
      <w:r>
        <w:rPr>
          <w:color w:val="000000"/>
          <w:u w:color="000000"/>
        </w:rPr>
        <w:t>oznaczone symbolami: 1MU, 2MU, 3MU, 4MU, 5MU, 2U, na których obowiązują poziomy hałasu jak dla terenów przeznaczonych na cele mieszkaniowo-usługowe,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oznaczony symbolem 1U, na którym obowiązują poziomy hałasu jak dla terenów przeznaczonych pod zabu</w:t>
      </w:r>
      <w:r>
        <w:rPr>
          <w:color w:val="000000"/>
          <w:u w:color="000000"/>
        </w:rPr>
        <w:t>dowę zamieszkania zbiorowego,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teren oznaczony symbolem 3U, na którym obowiązują poziomy hałasu jak dla terenów przeznaczonych pod budynki związane ze stałym lub czasowym pobytem dzieci i młodzieży,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tereny oznaczone symbolami: 1US, 1ZP, na których obo</w:t>
      </w:r>
      <w:r>
        <w:rPr>
          <w:color w:val="000000"/>
          <w:u w:color="000000"/>
        </w:rPr>
        <w:t>wiązują poziomy hałasu jak dla terenów przeznaczonych na cele rekreacyjno-wypoczynkowe;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stosowania zabezpieczeń akustycznych od ponadnormatywnego oddziaływania akustycznego – od istniejących ciągów komunikacyjnych oraz przy realizacji nowej i prze</w:t>
      </w:r>
      <w:r>
        <w:rPr>
          <w:color w:val="000000"/>
          <w:u w:color="000000"/>
        </w:rPr>
        <w:t>budowie istniejącej zabudowy wymagającej ochrony przed hałasem – zgodnie z rozporządzeniem Ministra Infrastruktury z dnia 12 kwietnia 2002 r. w sprawie warunków technicznych, jakim powinny odpowiadać budynki i ich usytuowanie.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przed p</w:t>
      </w:r>
      <w:r>
        <w:rPr>
          <w:color w:val="000000"/>
          <w:u w:color="000000"/>
        </w:rPr>
        <w:t>romieniowaniem elektromagnetycznym ustala się, że poziom pól elektromagnetycznych w środowisku nie może przekraczać dopuszczalnych wartości określonych zgodnie z ustawą z dnia 27 kwietnia 2001 r. Prawo ochrony środowiska, przy czym: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</w:t>
      </w:r>
      <w:r>
        <w:rPr>
          <w:color w:val="000000"/>
          <w:u w:color="000000"/>
        </w:rPr>
        <w:t>ych na rysunku planu symbolami: 1MN, 2MN, 3MN, 4MN, 5MN, 6MN, 7MN, 8MN, 9MN, 10MN, 11MN, 12MN, 13MN, 1MU, 2MU, 3MU, 4MU, 5MU, 1U, 2U, 3U obowiązują dopuszczalne poziomy pól elektromagnetycznych jak dla terenów przeznaczonych pod zabudowę mieszkaniową;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</w:t>
      </w:r>
      <w:r>
        <w:rPr>
          <w:color w:val="000000"/>
          <w:u w:color="000000"/>
        </w:rPr>
        <w:t>la wszystkich pozostałych terenów na obszarze objętym planem obowiązują dopuszczalne poziomy pól elektromagnetycznych jak dla miejsc dostępnych dla ludności.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zapobiegania powstawaniu emisji i ograniczania wprowadza</w:t>
      </w:r>
      <w:r>
        <w:rPr>
          <w:color w:val="000000"/>
          <w:u w:color="000000"/>
        </w:rPr>
        <w:t>nych do powietrza substancji zgodnie z ustawą z dnia 27 kwietnia 2001 r. Prawo ochrony środowiska;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magazynowania na otwartej przestrzeni surowców i materiałów pylących.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ochrony wód: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zachowania ciągłości systemu melioracji;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naruszenia istniejących urządzeń wodnych i melioracyjnych, tj. rowów otwartych oraz drenażu, nakaz przebudowy tych urządzeń lub budowy nowych;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nakaz opóźniania spływu wód opadowych i roztopowych do odbiorników poprzez ich retencjonowanie </w:t>
      </w:r>
      <w:r>
        <w:rPr>
          <w:color w:val="000000"/>
          <w:u w:color="000000"/>
        </w:rPr>
        <w:t>we własnym zakresie w obrębie działki;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nakaz zabezpieczenia drożności systemu odprowadzania wód na obszarze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 realizacji obiektów w sposób niepowodujący zmiany stosunków wodnych na obszarze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nakaz zachowania istniejących cieków wo</w:t>
      </w:r>
      <w:r>
        <w:rPr>
          <w:color w:val="000000"/>
          <w:u w:color="000000"/>
        </w:rPr>
        <w:t>dnych wraz z towarzyszącymi zadrzewieniami i roślinnością w naturalnej formie;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zakaz realizacji inwestycji mogących prowadzić do zanieczyszczenia wód podziemnych i wód powierzchniowych;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8) </w:t>
      </w:r>
      <w:r>
        <w:rPr>
          <w:color w:val="000000"/>
          <w:u w:color="000000"/>
        </w:rPr>
        <w:t>ze względu na położenie obszaru planu w granicach Głównego Zbior</w:t>
      </w:r>
      <w:r>
        <w:rPr>
          <w:color w:val="000000"/>
          <w:u w:color="000000"/>
        </w:rPr>
        <w:t>nika Wód Podziemnych GZWP nr 330 Gliwice, zakazuje się na tym obszarze: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realizacji inwestycji, które mogą zanieczyścić wody podziemne ze względu na wytwarzane ścieki, odpady oraz emitowane pyły i gazy,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realizacji inwestycji mogących pogorszyć stan śr</w:t>
      </w:r>
      <w:r>
        <w:rPr>
          <w:color w:val="000000"/>
          <w:u w:color="000000"/>
        </w:rPr>
        <w:t>odowiska wodnego.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postępowania z odpadami: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realizacji miejsc do zbierania odpadów komunalnych przy zastosowaniu osłon oraz zabezpieczeń przed infiltracją wód opadowych;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</w:t>
      </w:r>
      <w:r>
        <w:rPr>
          <w:color w:val="000000"/>
          <w:u w:color="000000"/>
        </w:rPr>
        <w:t>ia działalności polegającej na zbieraniu i przetwarzaniu odpadów, w tym surowców wtórnych, złomu i pojazdów wycofanych z eksploatacji, przy czym przez przetwarzanie odpadów należy rozumieć także składowanie odpadów, z zastrzeżeniem pkt 3;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dopuszczenie </w:t>
      </w:r>
      <w:r>
        <w:rPr>
          <w:color w:val="000000"/>
          <w:u w:color="000000"/>
        </w:rPr>
        <w:t>dla działalności prowadzonych na terenach objętych planem, magazynowania odpadów powstałych w wyniku tej działalności, wyłącznie w budynkach lub zadaszonych wiatach.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zanie</w:t>
      </w:r>
      <w:r>
        <w:rPr>
          <w:color w:val="000000"/>
          <w:u w:color="000000"/>
        </w:rPr>
        <w:t>czyszczeniem;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zagospodarowania zielenią urządzoną powierzchni niezabudowanych lub nieutwardzonych;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magazynowania surowców i materiałów bezpośrednio na powierzchni gruntu bez zabezpieczenia powierzchni przed infiltracją wód opadowych.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zakresie ochrony przyrody: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północna, zachodnia i centralna część obszaru planu położona jest w granicach Specjalnego Obszaru Ochrony Siedlisk Natura 2000 „Podziemia Tarnogórsko–Bytomskie” o symbolu PLH240003, zatwierdzonego decyzją Komisji Europejskiej</w:t>
      </w:r>
      <w:r>
        <w:rPr>
          <w:color w:val="000000"/>
          <w:u w:color="000000"/>
        </w:rPr>
        <w:t xml:space="preserve"> 2008/25/WE z dnia 13 listopada 2007 r.;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obszaru, o którym mowa w pkt 1 obowiązują działania zawarte w planie zadań ochronnych – zarządzenie Regionalnego Dyrektora Ochrony Środowiska w Katowicach z dnia 24 kwietnia 2014 r. w sprawie ustanowienia pla</w:t>
      </w:r>
      <w:r>
        <w:rPr>
          <w:color w:val="000000"/>
          <w:u w:color="000000"/>
        </w:rPr>
        <w:t xml:space="preserve">nu zadań ochronnych dla obszaru Natura 2000 Podziemia Tarnogórsko-Bytomskie PLH240003, zmienione zarządzeniem Regionalnego Dyrektora Ochrony Środowiska w Katowicach z dnia 18 maja 2015 r. o zmianie zarządzenia w sprawie ustanowienia planu zadań ochronnych </w:t>
      </w:r>
      <w:r>
        <w:rPr>
          <w:color w:val="000000"/>
          <w:u w:color="000000"/>
        </w:rPr>
        <w:t>dla obszaru Natura 2000 Podziemia Tarnogórsko-Bytomskie PLH240003.</w:t>
      </w:r>
    </w:p>
    <w:p w:rsidR="00A77B3E" w:rsidRDefault="0091272B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dziedzictwa kulturowego i zabytków oraz dóbr kultury współczesnej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Na obszarze planu nie ustala się zasad ochrony dóbr kultury współczesnej.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</w:t>
      </w:r>
      <w:r>
        <w:rPr>
          <w:color w:val="000000"/>
          <w:u w:color="000000"/>
        </w:rPr>
        <w:t xml:space="preserve"> planu ustanawia się ochronę obiektu budowlanego o wartościach kulturowych i obiektu małej architektury o wartościach kulturowych, ujętych w gminnej ewidencji zabytków, oznaczonych na rysunku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Ochronie, o której mowa w ust. 2 podlega obiekt budowl</w:t>
      </w:r>
      <w:r>
        <w:rPr>
          <w:color w:val="000000"/>
          <w:u w:color="000000"/>
        </w:rPr>
        <w:t>any o wartościach kulturowych – zespół cmentarza parafialnego, obejmujący: kaplicę, krucyfiks, ogrodzenie, w stylu modernizmu z 1 - go ćwierćwiecza XX w., zlokalizowany w rejonie ulicy Żołnierskiej w Bytomiu, dla którego ustala się szczegółowe zasady ochro</w:t>
      </w:r>
      <w:r>
        <w:rPr>
          <w:color w:val="000000"/>
          <w:u w:color="000000"/>
        </w:rPr>
        <w:t>ny: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nakaz zachowania i utrzymania w historycznej formie wynikającej z dokumentacji konserwatorskiej: kaplicy, krucyfiksu i ogrodzenia, z zastrzeżeniem pkt 5;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zachowania układu cmentarza, w szczególności alei głównej, alei poprzecznych, układu k</w:t>
      </w:r>
      <w:r>
        <w:rPr>
          <w:color w:val="000000"/>
          <w:u w:color="000000"/>
        </w:rPr>
        <w:t>water;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zachowania istniejącego starodrzewu, z zastrzeżeniem pkt 6;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nakaz dostosowania elementów oświetlenia i obiektów małej architektury do charakteru założenia;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odtworzenie obiektów, o których mowa w pkt 1 w historycznej form</w:t>
      </w:r>
      <w:r>
        <w:rPr>
          <w:color w:val="000000"/>
          <w:u w:color="000000"/>
        </w:rPr>
        <w:t>ie, wynikającej z dokumentacji konserwatorskiej;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dopuszcza się usunięcie starodrzewu wynikające ze stanu zdrowotnego drzew, bezpieczeństwa ludzi, warunków użytkowania cmentarza.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Ochronie, o której mowa w ust. 2 podlega obiekt małej architektury – kru</w:t>
      </w:r>
      <w:r>
        <w:rPr>
          <w:color w:val="000000"/>
          <w:u w:color="000000"/>
        </w:rPr>
        <w:t>cyfiks, w stylu neogotyckim z 1904 r., zlokalizowany przy ul. Ptakowickiej w Bytomiu, dla którego ustala się szczegółowe zasady ochrony: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utrzymania obiektu, w tym ogrodzenia, w historycznej formie;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lokalizowania od strony ul. Ptakowickiej</w:t>
      </w:r>
      <w:r>
        <w:rPr>
          <w:color w:val="000000"/>
          <w:u w:color="000000"/>
        </w:rPr>
        <w:t xml:space="preserve"> i ul. Alfonsa Zgrzebnioka innych obiektów lub zieleni przesłaniającej obiekt chroniony;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jego odtworzenie w historycznej formie wynikającej z dokumentacji konserwatorskiej.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Na obszarze planu występuje, oznaczone na rysunku planu, stan</w:t>
      </w:r>
      <w:r>
        <w:rPr>
          <w:color w:val="000000"/>
          <w:u w:color="000000"/>
        </w:rPr>
        <w:t>owisko archeologiczne, dla którego warunki ochrony określa ustawa z dnia 23 lipca 2003 r. o ochronie zabytków i opiece nad zabytkami: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66"/>
        <w:gridCol w:w="2116"/>
        <w:gridCol w:w="960"/>
        <w:gridCol w:w="1275"/>
        <w:gridCol w:w="1710"/>
        <w:gridCol w:w="1290"/>
        <w:gridCol w:w="1365"/>
      </w:tblGrid>
      <w:tr w:rsidR="00FF7BD5"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porządkowy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Nazwa miejscowości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obszaru AZP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stanowiska na obszarze AZP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Numer stanowiska w miejscowości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Rodzaj stanowiska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Chronologia</w:t>
            </w:r>
          </w:p>
        </w:tc>
      </w:tr>
      <w:tr w:rsidR="00FF7BD5"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Bytom-Stolarzowice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95-45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ślad osadnictwa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1272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epoka kamienia</w:t>
            </w:r>
          </w:p>
        </w:tc>
      </w:tr>
    </w:tbl>
    <w:p w:rsidR="00A77B3E" w:rsidRDefault="0091272B">
      <w:pPr>
        <w:keepNext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Na obszarze planu nie występują obszary przestrzeni publicznych w </w:t>
      </w:r>
      <w:r>
        <w:rPr>
          <w:color w:val="000000"/>
          <w:u w:color="000000"/>
        </w:rPr>
        <w:t>rozumieniu ustawy z dnia 27 marca 2003 r. o planowaniu i zagospodarowaniu przestrzennym, wobec czego nie formułuje się ustaleń dotyczących wymagań wynikających z potrzeb ich kształtowania.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Ustalenia dotyczące granic i sposobów zagospodarowania </w:t>
      </w:r>
      <w:r>
        <w:rPr>
          <w:b/>
          <w:color w:val="000000"/>
          <w:u w:color="000000"/>
        </w:rPr>
        <w:t>terenów lub obiektów podlegających ochronie, ustalonych na podstawie odrębnych przepisów, w tym terenów górniczych, a także obszarów szczególnego zagrożenia powodzią oraz obszarów osuwania się mas ziemnych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Na obszarze planu nie występują </w:t>
      </w:r>
      <w:r>
        <w:rPr>
          <w:color w:val="000000"/>
          <w:u w:color="000000"/>
        </w:rPr>
        <w:t>udokumentowane złoża kopalin.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nie występują tereny i obszary górnicze.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Na części obszaru objętego planem, zgodnie z informacjami archiwalnymi, prowadzona była płytka eksploatacja rudna i występują wyrobiska mające połączenie z powie</w:t>
      </w:r>
      <w:r>
        <w:rPr>
          <w:color w:val="000000"/>
          <w:u w:color="000000"/>
        </w:rPr>
        <w:t>rzchnią (zlikwidowane szyby i szybiki, które na rysunku planu oznaczono w celach informacyjnych).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części obszaru objętego planem występują płytkie wody gruntowe o głębokości do 1,0 m p. p. t., których orientacyjny zasięg wskazano na rysunku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5.</w:t>
      </w:r>
      <w:r>
        <w:t> </w:t>
      </w:r>
      <w:r>
        <w:rPr>
          <w:color w:val="000000"/>
          <w:u w:color="000000"/>
        </w:rPr>
        <w:t>Na obszarze planu nie występują obszary szczególnego zagrożenia powodzią oraz osuwania się mas ziemnych, wobec czego nie formułuje się ustaleń dotyczących: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</w:t>
      </w:r>
      <w:r>
        <w:rPr>
          <w:color w:val="000000"/>
          <w:u w:color="000000"/>
        </w:rPr>
        <w:t>ów zagospodarowania obszarów osuwania się mas ziemnych.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 terenie położonym w granicach obszaru Natura 2000 ustala się nakaz realizacji zabudowy i zagospodarowania terenów, w tym lokalizowania inwestycji i przedsięwzięć – zgodnie z planem zadań ochronn</w:t>
      </w:r>
      <w:r>
        <w:rPr>
          <w:color w:val="000000"/>
          <w:u w:color="000000"/>
        </w:rPr>
        <w:t>ych wydanym zarządzeniem Regionalnego Dyrektora Ochrony Środowiska w Katowicach z dnia 24 kwietnia 2014 r. w sprawie ustanowienia planu zadań ochronnych dla obszaru Natura 2000 Podziemia Tarnogórsko-Bytomskie PLH240003, zmienionym zarządzeniem Regionalnego</w:t>
      </w:r>
      <w:r>
        <w:rPr>
          <w:color w:val="000000"/>
          <w:u w:color="000000"/>
        </w:rPr>
        <w:t xml:space="preserve"> Dyrektora Ochrony Środowiska w Katowicach z dnia 18 maja 2015 r. o zmianie zarządzenia w sprawie ustanowienia planu zadań ochronnych dla obszaru Natura 2000 Podziemia Tarnogórsko-Bytomskie PLH240003.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Szczegółowe zasady i warunki scalania i pod</w:t>
      </w:r>
      <w:r>
        <w:rPr>
          <w:b/>
          <w:color w:val="000000"/>
          <w:u w:color="000000"/>
        </w:rPr>
        <w:t>ziału nieruchomości objętych planem miejscowym, w tym parametry działek uzyskiwanych w wyniku scalania i podziału nieruchomości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Ustala się następujące parametry działek uzyskiwanych w wyniku scalania i podziału nieruchomości: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</w:t>
      </w:r>
      <w:r>
        <w:rPr>
          <w:color w:val="000000"/>
          <w:u w:color="000000"/>
        </w:rPr>
        <w:t>ć frontów działek: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20,0 m – dla terenów o symbolach: 1U, 3U, 1US,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16,0 m – dla terenów o symbolach: 1MN, 2MN, 3MN, 4MN, 5MN, 6MN, 7MN, 8MN, 9MN, 10MN, 11MN, 12MN, 13MN, 1MU, 2MU, 3MU, 4MU, 5MU, 2U,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5,0 m – dla pozostałych terenów;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minimalna </w:t>
      </w:r>
      <w:r>
        <w:rPr>
          <w:color w:val="000000"/>
          <w:u w:color="000000"/>
        </w:rPr>
        <w:t>powierzchnia działek: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5000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terenu o symbolu 1US,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terenów o symbolach: 1U, 3U, 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500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drogowego: 90° z dopuszczeniem odchylenia o 10°.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</w:t>
      </w:r>
      <w:r>
        <w:rPr>
          <w:color w:val="000000"/>
          <w:u w:color="000000"/>
        </w:rPr>
        <w:t>e w ust. 1 parametry działek w przypadku scalania i podziału nieruchomości nie dotyczą wydzielania działek pod infrastrukturę techniczną.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tym zakaz zabudowy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Dla istniejącej zabudowy na działkach budowlanych, na których w momencie wejścia w życie planu przekroczone zostały zasady ustalone w niniejszym planie, w tym przeznaczenie oraz parametry i wskaźniki zabudowy lub zagospodarowania terenu ustala się zak</w:t>
      </w:r>
      <w:r>
        <w:rPr>
          <w:color w:val="000000"/>
          <w:u w:color="000000"/>
        </w:rPr>
        <w:t>az rozbudowy, która powodowałaby dalsze przekroczenie zasad, parametrów i wskaźników zabudowy lub zagospodarowania terenu, za wyjątkiem rozbudowy o elementy takie jak: wejścia do budynku, dostosowanie wejść dla potrzeb osób niepełnosprawnych, zadaszenia we</w:t>
      </w:r>
      <w:r>
        <w:rPr>
          <w:color w:val="000000"/>
          <w:u w:color="000000"/>
        </w:rPr>
        <w:t>jść oraz docieplenia budynku.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wykraczających poza linie zabudowy fragmentów budynków istniejących w dniu wejścia w życie planu, dopuszcza się przebudowy, remonty i zmiany sposobu użytkowania przy zachowaniu pozostałych ustaleń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Zakaz realiz</w:t>
      </w:r>
      <w:r>
        <w:rPr>
          <w:color w:val="000000"/>
          <w:u w:color="000000"/>
        </w:rPr>
        <w:t>acji obiektów handlowych o powierzchni sprzedaży powyżej 2 000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Zakaz lokalizacji urządzeń wytwarzających energię z odnawialnych źródeł energii, wykorzystujących energię wiatru – za wyjątkiem mikroinstalacji w rozumieniu ustawy z dnia 20 lutego 2015 </w:t>
      </w:r>
      <w:r>
        <w:rPr>
          <w:color w:val="000000"/>
          <w:u w:color="000000"/>
        </w:rPr>
        <w:t>r. o odnawialnych źródłach energii.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Zakaz lokalizacji instalacji fotowoltaicznych, w tym ich urządzeń – za wyjątkiem instalacji fotowoltaicznych, w tym ich urządzeń, służących wyłącznie zaspokajaniu potrzeb zabudowy zlokalizowanej na tej samej działce b</w:t>
      </w:r>
      <w:r>
        <w:rPr>
          <w:color w:val="000000"/>
          <w:u w:color="000000"/>
        </w:rPr>
        <w:t>udowlanej, z zastrzeżeniem pozostałych ustaleń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Zakaz realizacji garaży zbiorowych, z uwzględnieniem pozostałych ustaleń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Ustala się maksymalną wysokość obiektów budowlanych, takich jak: garaże, oranżerie, budynki gospodarcze odpowiadając</w:t>
      </w:r>
      <w:r>
        <w:rPr>
          <w:color w:val="000000"/>
          <w:u w:color="000000"/>
        </w:rPr>
        <w:t>ą wysokości budynków dla poszczególnych terenów oraz przy uwzględnieniu ustaleń szczegółowych.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Dla terenów zabudowy położonych w strefie w odległości 50,0 m od granicy istniejącego cmentarza, oznaczonej graficznie na rysunku planu, zakazuje się lokaliza</w:t>
      </w:r>
      <w:r>
        <w:rPr>
          <w:color w:val="000000"/>
          <w:u w:color="000000"/>
        </w:rPr>
        <w:t>cji: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nowej zabudowy mieszkaniowej;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zakładów produkcji żywności;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zakładów żywienia zbiorowego;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studni służących do czerpania wody do picia i potrzeb gospodarczych;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zakładów przechowujących artykuły żywności.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Dla terenów zabudowy położonych</w:t>
      </w:r>
      <w:r>
        <w:rPr>
          <w:color w:val="000000"/>
          <w:u w:color="000000"/>
        </w:rPr>
        <w:t xml:space="preserve"> pomiędzy strefą w odległości 50,0 m od granicy istniejącego cmentarza do strefy w odległości 150,0 m od granicy cmentarza dopuszcza się lokalizację budynków, z zastrzeżeniem podłączenia ich do sieci wodociągowej.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obrębie strefy ochronnej (techniczne</w:t>
      </w:r>
      <w:r>
        <w:rPr>
          <w:color w:val="000000"/>
          <w:u w:color="000000"/>
        </w:rPr>
        <w:t>j) dla wodociągu magistralnego DN 1000 mm, oznaczonej na rysunku planu, ustala się zakaz realizacji budynków.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modernizacji, rozbudowy i budowy systemów komunikacji i infrastruktury technicznej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obsługę komunikacyjną te</w:t>
      </w:r>
      <w:r>
        <w:rPr>
          <w:color w:val="000000"/>
          <w:u w:color="000000"/>
        </w:rPr>
        <w:t>renów z istniejącego oraz projektowanego układu drogowego.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Powiązania z zewnętrznym układem drogowo-ulicznym zapewnia się poprzez istniejące ulice: Żołnierską, Ptakowicką.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oraz klasyfikację dróg publicznych, publicznych ciągów pi</w:t>
      </w:r>
      <w:r>
        <w:rPr>
          <w:color w:val="000000"/>
          <w:u w:color="000000"/>
        </w:rPr>
        <w:t>eszo-jezdnych i placów, zgodnie z warunkami zawartymi w paragrafach: od § 29 do § 31 niniejszej uchwały.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na obszarze objętym planem ustala się: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zapewnienia miejsc parkingowych w granicach działki budowlanej w iloś</w:t>
      </w:r>
      <w:r>
        <w:rPr>
          <w:color w:val="000000"/>
          <w:u w:color="000000"/>
        </w:rPr>
        <w:t>ci dostosowanej do rodzaju zabudowy i skali prowadzonej działalności, z uwzględnieniem pkt 2, przy czym ustala się następującą minimalną liczbę miejsc do parkowania: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 – 2 miejsca na 1 lokal mieszkalny,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dla </w:t>
      </w:r>
      <w:r>
        <w:rPr>
          <w:color w:val="000000"/>
          <w:u w:color="000000"/>
        </w:rPr>
        <w:t>małych domów mieszkalnych – 2 miejsca na 1 lokal mieszkalny,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zabudowy mieszkaniowej wielorodzinnej – 1,5 miejsca na 1 lokal mieszkalny,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zabudowy zamieszkania zbiorowego – 2 miejsca na 10 łóżek,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dla obiektów i lokali handlowych – 1 miejsce </w:t>
      </w:r>
      <w:r>
        <w:rPr>
          <w:color w:val="000000"/>
          <w:u w:color="000000"/>
        </w:rPr>
        <w:t>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gastronomii – 1 miejsce na 10 miejsc konsumpcyjnych,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zabudowy związanej ze sportem i rekreacją – 1 miejsce na 10 użytkowników, z zastrzeżeniem lit. 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 xml:space="preserve">dla usług związanych z handlem pojazdami </w:t>
      </w:r>
      <w:r>
        <w:rPr>
          <w:color w:val="000000"/>
          <w:u w:color="000000"/>
        </w:rPr>
        <w:t>lub obsługą pojazdów – nie mniej niż 1 miejsce parkingowe na 10 zatrudnionych pracowników,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innych, niewymienionych wyżej działalności – 1 miejsce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terenu o symbolu 1</w:t>
      </w:r>
      <w:r>
        <w:rPr>
          <w:color w:val="000000"/>
          <w:u w:color="000000"/>
        </w:rPr>
        <w:t>US – 1 miejsce postojowe na 100 użytkowników;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kartę parkingową: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od 6 do 15,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wynosi od 16 do 40,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 stanowiska, je</w:t>
      </w:r>
      <w:r>
        <w:rPr>
          <w:color w:val="000000"/>
          <w:u w:color="000000"/>
        </w:rPr>
        <w:t>żeli liczba miejsc parkingowych wynosi od 41 do 100,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4% ogólnej liczby stanowisk, jeżeli ogólna liczba stanowisk wynosi więcej niż 100.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liniach rozgraniczających dróg publicznych, wewnętrznych o</w:t>
      </w:r>
      <w:r>
        <w:rPr>
          <w:color w:val="000000"/>
          <w:u w:color="000000"/>
        </w:rPr>
        <w:t>raz ciągów pieszo-jezdnych;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możliwości przeprowadzenia sieci zgodnie z pkt 1, dopuszczenie ich realizacji: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 a wyznaczoną nieprzekraczalną linią zabudowy,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 nieruchomości lub w ich b</w:t>
      </w:r>
      <w:r>
        <w:rPr>
          <w:color w:val="000000"/>
          <w:u w:color="000000"/>
        </w:rPr>
        <w:t>ezpośrednim sąsiedztwie;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realizacji sieci infrastruktury technicznej w sposób inny niż określony w pkt 1 i 2, jeżeli nie spowoduje to ograniczenia ustalonego planem przeznaczenia terenu.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Dopuszcza się rozbudowę, przebudowę oraz zmianę </w:t>
      </w:r>
      <w:r>
        <w:rPr>
          <w:color w:val="000000"/>
          <w:u w:color="000000"/>
        </w:rPr>
        <w:t>przebiegu sieci i urządzeń infrastruktury technicznej zlokalizowanych w obszarze objętym planem, z zastrzeżeniem ust. 1, a w przypadku realizacji ich nowego przebiegu – dopuszczenie likwidacji dotychczasowych odcinków sieci lub urządzeń infrastruktury tech</w:t>
      </w:r>
      <w:r>
        <w:rPr>
          <w:color w:val="000000"/>
          <w:u w:color="000000"/>
        </w:rPr>
        <w:t>nicznej.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wodociągowej dla pokrycia potrzeb bytowych, użytkowych i przeciwpożarowych;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zapewnienia właściwego standardu zasilania w wodę</w:t>
      </w:r>
      <w:r>
        <w:rPr>
          <w:color w:val="000000"/>
          <w:u w:color="000000"/>
        </w:rPr>
        <w:t xml:space="preserve"> dla ochrony przeciwpożarowej.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deszczowych: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sanitarnych i deszczowych do kanalizacji miejskiej, z zastrzeżeniem pkt 2 i 3;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dopuszczenie, do czasu realizacji kanalizacji sanita</w:t>
      </w:r>
      <w:r>
        <w:rPr>
          <w:color w:val="000000"/>
          <w:u w:color="000000"/>
        </w:rPr>
        <w:t>rnej, odprowadzania ścieków sanitarnych zgodnie z przepisami ustawy z dnia 13 września 1996 r. o utrzymaniu czystości i porządku w gminach;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ustawą z dnia 20 lipca 2017 r. Prawo wodne;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</w:t>
      </w:r>
      <w:r>
        <w:rPr>
          <w:color w:val="000000"/>
          <w:u w:color="000000"/>
        </w:rPr>
        <w:t>ukcesywna budowa rozdzielczej sieci kanalizacji sanitarnej;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 stosowania urządzeń podczyszczających wody opadowe i roztopowe odprowadzane z terenów parkingów terenowych o powierzchni powyżej 0,1 ha.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zakresie zaopatrzenia w ciepło: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dostawa </w:t>
      </w:r>
      <w:r>
        <w:rPr>
          <w:color w:val="000000"/>
          <w:u w:color="000000"/>
        </w:rPr>
        <w:t>ciepła z miejskiej sieci ciepłowniczej zdalaczynnej, z zastrzeżeniem pkt 2;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wykorzystujących odnawialne źródła energii.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gaz ziemny w oparciu o istnie</w:t>
      </w:r>
      <w:r>
        <w:rPr>
          <w:color w:val="000000"/>
          <w:u w:color="000000"/>
        </w:rPr>
        <w:t>jącą i projektowaną sieć gazową, z zastrzeżeniem pkt 2;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indywidualnych zbiorników gazu.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elektryczną: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</w:t>
      </w:r>
      <w:r>
        <w:rPr>
          <w:color w:val="000000"/>
          <w:u w:color="000000"/>
        </w:rPr>
        <w:t>oenergetyczną, z zastrzeżeniem pkt 2;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indywidualnych urządzeń prądotwórczych wykorzystujących odnawialne źródła energii, z zastrzeżeniem § 12 ust. 4 i 5.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telekomunikacji: rozbudowa sieci telekomunikacyjnej, budowa n</w:t>
      </w:r>
      <w:r>
        <w:rPr>
          <w:color w:val="000000"/>
          <w:u w:color="000000"/>
        </w:rPr>
        <w:t>owych urządzeń i sieci telekomunikacyjnych w celu zaspokojenia potrzeb w tym zakresie.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użytkowania terenów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 xml:space="preserve">Nie ustala się sposobu i terminu tymczasowego zagospodarowania, </w:t>
      </w:r>
      <w:r>
        <w:rPr>
          <w:color w:val="000000"/>
          <w:u w:color="000000"/>
        </w:rPr>
        <w:t>urządzania i użytkowania terenów objętych planem.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Stawki procentowe, na podstawie których ustala się opłatę, o której mowa w art. 36 ust. 4 ustawy o planowaniu i zagospodarowaniu przestrzennym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Dla wszystkich terenów objętych planem okreś</w:t>
      </w:r>
      <w:r>
        <w:rPr>
          <w:color w:val="000000"/>
          <w:u w:color="000000"/>
        </w:rPr>
        <w:t>la się stawkę procentową, na podstawie której ustala się opłatę, o której mowa w art. 36 ust. 4 ustawy z dnia 27 marca 2003 r. o planowaniu i zagospodarowaniu przestrzennym w wysokości 30% (słownie: trzydzieści procent).</w:t>
      </w:r>
    </w:p>
    <w:p w:rsidR="00A77B3E" w:rsidRDefault="0091272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Ustalenia szczegółowe </w:t>
      </w:r>
      <w:r>
        <w:rPr>
          <w:b/>
          <w:color w:val="000000"/>
          <w:u w:color="000000"/>
        </w:rPr>
        <w:t>dla terenów o różnym przeznaczeniu lub różnych zasadach zagospodarowania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Dla terenów oznaczonych na rysunku planu symbolami: 1MN, 2MN, 3MN, 4MN, 9MN, 10MN – tereny zabudowy mieszkaniowej jednorodzinnej,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</w:t>
      </w:r>
      <w:r>
        <w:rPr>
          <w:color w:val="000000"/>
          <w:u w:color="000000"/>
        </w:rPr>
        <w:t>udowa mieszkaniowa jednorodzinna realizowana wyłącznie w formie budynków wolnostojących;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realizowane jako wbudowane w budynek mieszkalny, z zakresu usług: biurowych, finansowych, projektowych, ubezpieczeniowych, fryzjerskich, ko</w:t>
      </w:r>
      <w:r>
        <w:rPr>
          <w:color w:val="000000"/>
          <w:u w:color="000000"/>
        </w:rPr>
        <w:t>smetycznych, handlu oraz gabinety lekarskie, terapeutyczne, z zastrzeżeniem ust. 3 pkt 5,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zabudowie mieszkaniowej, realizowane na tej samej działce budowlanej.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przebudowę i rozbudowę istniej</w:t>
      </w:r>
      <w:r>
        <w:rPr>
          <w:color w:val="000000"/>
          <w:u w:color="000000"/>
        </w:rPr>
        <w:t>ącego ogrodnictwa, upraw szklarniowych;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istniejące usługi związane z naprawą maszyn i pojazdów mechanicznych.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wskaźnik </w:t>
      </w:r>
      <w:r>
        <w:rPr>
          <w:color w:val="000000"/>
          <w:u w:color="000000"/>
        </w:rPr>
        <w:t>powierzchni biologicznie czynnej: 40%, przy czym powierzchni szklarni dla potrzeb ogrodnictwa z uprawami na gruncie rodzimym można wliczyć do wskaźnika powierzchni biologicznie czynnej;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minimalny i maksymalny wskaźnik intensywności zabudowy: od 0,01 do </w:t>
      </w:r>
      <w:r>
        <w:rPr>
          <w:color w:val="000000"/>
          <w:u w:color="000000"/>
        </w:rPr>
        <w:t>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30%, przy czym powierzchni szklarni dla potrzeb ogrodnictwa i upraw nie wlicza się do wskaźnika powierzchni zabudowy;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16,0 m, z zastrzeżeni</w:t>
      </w:r>
      <w:r>
        <w:rPr>
          <w:color w:val="000000"/>
          <w:u w:color="000000"/>
        </w:rPr>
        <w:t>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usługi – nie więcej niż 30% powierzchni całkowitej budynku.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których mowa w </w:t>
      </w:r>
      <w:r>
        <w:rPr>
          <w:color w:val="000000"/>
          <w:u w:color="000000"/>
        </w:rPr>
        <w:t>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18. </w:t>
      </w:r>
      <w:r>
        <w:t>1. </w:t>
      </w:r>
      <w:r>
        <w:rPr>
          <w:color w:val="000000"/>
          <w:u w:color="000000"/>
        </w:rPr>
        <w:t xml:space="preserve">Dla terenów oznaczonych na rysunku planu symbolami: 5MN, 6MN, </w:t>
      </w:r>
      <w:r>
        <w:rPr>
          <w:color w:val="000000"/>
          <w:u w:color="000000"/>
        </w:rPr>
        <w:t>7MN, 8MN, 11MN, 12MN, 13MN – tereny zabudowy mieszkaniowej jednorodzinnej,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zabudowa mieszkaniowa jednorodzinna realizowana wyłącznie w formie budynków wolnostojących;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 realizowane jako wbu</w:t>
      </w:r>
      <w:r>
        <w:rPr>
          <w:color w:val="000000"/>
          <w:u w:color="000000"/>
        </w:rPr>
        <w:t>dowane w budynek mieszkalny, z zakresu usług: biurowych, finansowych, projektowych, ubezpieczeniowych, fryzjerskich, kosmetycznych, handlu oraz gabinety lekarskie, terapeutyczne, z zastrzeżeniem ust. 3 pkt 5,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za</w:t>
      </w:r>
      <w:r>
        <w:rPr>
          <w:color w:val="000000"/>
          <w:u w:color="000000"/>
        </w:rPr>
        <w:t>budowie mieszkaniowej i istniejącej zabudowie usługowej, realizowane na tej samej działce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przebudowę i rozbudowę istniejącej zabudowy usługowej (w tym zabudowy usługowej, związanej </w:t>
      </w:r>
      <w:r>
        <w:rPr>
          <w:color w:val="000000"/>
          <w:u w:color="000000"/>
        </w:rPr>
        <w:t>z naprawą maszyn i pojazdów mechanicznych), zgodnie z parametrami zawartymi w ust. 3 pkt 1, 2, 3, 4 i ust. 4;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przebudowę i rozbudowę istniejącej zabudowy mieszkaniowej w formie bliźniaczej, zgodnie z parametrami zawartymi w ust. 3 i 4.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</w:t>
      </w:r>
      <w:r>
        <w:rPr>
          <w:color w:val="000000"/>
          <w:u w:color="000000"/>
        </w:rPr>
        <w:t>ametry i wskaźniki kształtowania zabudowy oraz zagospodarowania terenów, o których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</w:t>
      </w:r>
      <w:r>
        <w:rPr>
          <w:color w:val="000000"/>
          <w:u w:color="000000"/>
        </w:rPr>
        <w:t xml:space="preserve"> powierzchni zabudowy: 40%;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16,0 m, z 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 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udział przeznaczenia uzupełniającego: usługi – nie więcej niż 30% powierzchni </w:t>
      </w:r>
      <w:r>
        <w:rPr>
          <w:color w:val="000000"/>
          <w:u w:color="000000"/>
        </w:rPr>
        <w:t>całkowitej budynku.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których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</w:t>
      </w:r>
      <w:r>
        <w:rPr>
          <w:color w:val="000000"/>
          <w:u w:color="000000"/>
        </w:rPr>
        <w:t xml:space="preserve">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Dla terenu oznaczonego na rysunku planu symbolem 1MU – teren zabudowy mieszkaniowo-usługowej,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zabudowa mieszkaniowa jednorodzinna realizowana wyłącznie </w:t>
      </w:r>
      <w:r>
        <w:rPr>
          <w:color w:val="000000"/>
          <w:u w:color="000000"/>
        </w:rPr>
        <w:t>w formie budynków wolnostojących,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i budynki gospodarcze towarzyszące zabudowie mieszkaniowej i usługom, realizowane na tej samej działce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 parkingi terenowe.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</w:t>
      </w:r>
      <w:r>
        <w:rPr>
          <w:color w:val="000000"/>
          <w:u w:color="000000"/>
        </w:rPr>
        <w:t>wskaźniki kształtowania zabudowy oraz 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</w:t>
      </w:r>
      <w:r>
        <w:rPr>
          <w:color w:val="000000"/>
          <w:u w:color="000000"/>
        </w:rPr>
        <w:t>i zabudowy: 40%;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16,0 m, z 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</w:t>
      </w:r>
      <w:r>
        <w:rPr>
          <w:color w:val="000000"/>
          <w:u w:color="000000"/>
        </w:rPr>
        <w:t>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Dla terenów oznaczonych na rysunku planu symbolami: 2MU, 3MU,</w:t>
      </w:r>
      <w:r>
        <w:rPr>
          <w:color w:val="000000"/>
          <w:u w:color="000000"/>
        </w:rPr>
        <w:t xml:space="preserve"> 4MU, 5MU – tereny zabudowy mieszkaniowo-usługowej,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zabudowa mieszkaniowa jednorodzinna realizowana jako budynki: wolnostojące lub w zabudowie bliźniaczej,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wolnostojące małe domy mieszkalne,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usługi, w tym </w:t>
      </w:r>
      <w:r>
        <w:rPr>
          <w:color w:val="000000"/>
          <w:u w:color="000000"/>
        </w:rPr>
        <w:t>usługi związane z handlem pojazdami;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i budynki gospodarcze towarzyszące zabudowie mieszkaniowej i usługom,  realizowane na tej samej działce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 parkingi terenowe.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przebudowę, </w:t>
      </w:r>
      <w:r>
        <w:rPr>
          <w:color w:val="000000"/>
          <w:u w:color="000000"/>
        </w:rPr>
        <w:t>rozbudowę i nadbudowę istniejącej zabudowy magazynowej, zgodnie z parametrami zawartymi w ust. 3 i 4;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przebudowę, rozbudowę i nadbudowę istniejącej zabudowy mieszkaniowej wielorodzinnej, zgodnie z parametrami zawartymi w ust. 3 i 4.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</w:t>
      </w:r>
      <w:r>
        <w:rPr>
          <w:color w:val="000000"/>
          <w:u w:color="000000"/>
        </w:rPr>
        <w:t>try i wskaźniki kształtowania zabudowy oraz zagospodarowania terenów, o których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</w:t>
      </w:r>
      <w:r>
        <w:rPr>
          <w:color w:val="000000"/>
          <w:u w:color="000000"/>
        </w:rPr>
        <w:t>wierzchni zabudowy: 40%;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maksymalna wysokość obiektów budowlanych: 16,0 m, z 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terenów, o któr</w:t>
      </w:r>
      <w:r>
        <w:rPr>
          <w:color w:val="000000"/>
          <w:u w:color="000000"/>
        </w:rPr>
        <w:t>ych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Dla terenu oznaczonego na rysunku planu symbolem 1U</w:t>
      </w:r>
      <w:r>
        <w:rPr>
          <w:color w:val="000000"/>
          <w:u w:color="000000"/>
        </w:rPr>
        <w:t xml:space="preserve"> – teren zabudowy usługowej,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związane z handlem pojazdami lub obsługą pojazdów,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usługi związane z naprawą maszyn i pojazdów mechanicznych,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usługi hotelarskie;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garaże i</w:t>
      </w:r>
      <w:r>
        <w:rPr>
          <w:color w:val="000000"/>
          <w:u w:color="000000"/>
        </w:rPr>
        <w:t> budynki gospodarcze towarzyszące usługom, realizowane na tej samej działce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 parkingi terenowe.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minimalny </w:t>
      </w:r>
      <w:r>
        <w:rPr>
          <w:color w:val="000000"/>
          <w:u w:color="000000"/>
        </w:rPr>
        <w:t>wskaźnik powierzchni biologicznie czynnej: 20%;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1,5;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16,0 m, z </w:t>
      </w:r>
      <w:r>
        <w:rPr>
          <w:color w:val="000000"/>
          <w:u w:color="000000"/>
        </w:rPr>
        <w:t>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dachy – wszystkie </w:t>
      </w:r>
      <w:r>
        <w:rPr>
          <w:color w:val="000000"/>
          <w:u w:color="000000"/>
        </w:rPr>
        <w:t>formy i konstrukcje, przy czym dla dachów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Dla terenu oznaczonego na rysunku planu symbolem 2U – teren zabudowy usługowej,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drobna wytwórczość;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garaże i budynki gospodarcze towarzyszące usługom i zabudowie mieszkaniowej, realizowane na tej samej działce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 postojowe i parkingi terenowe.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przebudowę, rozbudowę i nadbudowę istniejącej zabudowy</w:t>
      </w:r>
      <w:r>
        <w:rPr>
          <w:color w:val="000000"/>
          <w:u w:color="000000"/>
        </w:rPr>
        <w:t xml:space="preserve"> mieszkaniowej jednorodzinnej, zgodnie z parametrami zawartymi w ust. 3 i 4.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</w:t>
      </w:r>
      <w:r>
        <w:rPr>
          <w:color w:val="000000"/>
          <w:u w:color="000000"/>
        </w:rPr>
        <w:t>nimalny i maksymalny wskaźnik intensywności zabudowy: od 0,01 do 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30%;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16,0 m, z 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10,0</w:t>
      </w:r>
      <w:r>
        <w:rPr>
          <w:color w:val="000000"/>
          <w:u w:color="000000"/>
        </w:rPr>
        <w:t xml:space="preserve">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</w:t>
      </w:r>
      <w:r>
        <w:rPr>
          <w:color w:val="000000"/>
          <w:u w:color="000000"/>
        </w:rPr>
        <w:t>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>Dla terenu oznaczonego na rysunku planu symbolem 3U – teren zabudowy usługowej,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usługi,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oświaty;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lokale mieszkalne wbudowane w budynek </w:t>
      </w:r>
      <w:r>
        <w:rPr>
          <w:color w:val="000000"/>
          <w:u w:color="000000"/>
        </w:rPr>
        <w:t>usługowy, z zastrzeżeniem ust. 2 pkt 5,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garaże i budynki gospodarcze towarzyszące usługom lub lokalom mieszkalnym, realizowane na tej samej działce budowlanej,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postojowe i parkingi terenowe.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</w:t>
      </w:r>
      <w:r>
        <w:rPr>
          <w:color w:val="000000"/>
          <w:u w:color="000000"/>
        </w:rPr>
        <w:t>abudowy oraz 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intensywności zabudowy: od 0,01 do 1,5;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</w:t>
      </w:r>
      <w:r>
        <w:rPr>
          <w:color w:val="000000"/>
          <w:u w:color="000000"/>
        </w:rPr>
        <w:t>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16,0 m, z 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budynków: 12,0 m;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udział przeznaczenia uzupełniającego: lokale mieszkalne – nie więcej niż 30% powierzchni całkowitej budynku.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Ustala si</w:t>
      </w:r>
      <w:r>
        <w:rPr>
          <w:color w:val="000000"/>
          <w:u w:color="000000"/>
        </w:rPr>
        <w:t>ę warunki i zasady kształtowania zabudowy oraz 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</w:t>
      </w:r>
      <w:r>
        <w:rPr>
          <w:color w:val="000000"/>
          <w:u w:color="000000"/>
        </w:rPr>
        <w:t>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>Dla terenu oznaczonego na rysunku planu symbolem 1US – teren usług sportu i rekreacji,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terenowe urządzenia i budowle na cele sportu i rekreacji,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i budynki na cele sportu i </w:t>
      </w:r>
      <w:r>
        <w:rPr>
          <w:color w:val="000000"/>
          <w:u w:color="000000"/>
        </w:rPr>
        <w:t>rekreacji,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hale pneumatyczne oraz namiotowe na cele sportu i rekreacji;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 miejsca postojowe i parkingi terenowe towarzyszące realizacji przeznaczenia podstawowego.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garaże realizowane wyłącznie jako wbudowane w </w:t>
      </w:r>
      <w:r>
        <w:rPr>
          <w:color w:val="000000"/>
          <w:u w:color="000000"/>
        </w:rPr>
        <w:t>budynki, o których mowa w ust. 1 pkt 1 lit. b oraz ust. 2 pkt 3;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gastronomii i handlu dla potrzeb obsługi usług sportu i rekreacji wyłącznie jako wbudowane w budynki lub obiekty, o których mowa w ust. 1 pkt 1 lit. b i c oraz ust. 2 pkt 3;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budy</w:t>
      </w:r>
      <w:r>
        <w:rPr>
          <w:color w:val="000000"/>
          <w:u w:color="000000"/>
        </w:rPr>
        <w:t>nki, obiekty i urządzenia zaplecza sportowego i gospodarczego.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Zakaz: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lokalizacji tymczasowych obiektów budowlanych, za wyjątkiem: obiektów gastronomicznych typu ogródki letnie, obiektów na potrzeby wystaw plenerowych i kiermaszy na czas określony;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</w:t>
      </w:r>
      <w:r>
        <w:t>) </w:t>
      </w:r>
      <w:r>
        <w:rPr>
          <w:color w:val="000000"/>
          <w:u w:color="000000"/>
        </w:rPr>
        <w:t>lokalizacji obiektów i urządzeń dla sportów motorowych i samochodowych.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20%;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</w:t>
      </w:r>
      <w:r>
        <w:rPr>
          <w:color w:val="000000"/>
          <w:u w:color="000000"/>
        </w:rPr>
        <w:t>alny i maksymalny wskaźnik intensywności zabudowy: od 0,001 do 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obiektów budowlanych: 20,0 m, z zastrzeżeniem lit. b,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budynków, hal pn</w:t>
      </w:r>
      <w:r>
        <w:rPr>
          <w:color w:val="000000"/>
          <w:u w:color="000000"/>
        </w:rPr>
        <w:t>eumatycznych i namiotowych: 12,0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warunki i zasady kształtowania zabudowy oraz 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</w:t>
      </w:r>
      <w:r>
        <w:rPr>
          <w:color w:val="000000"/>
          <w:u w:color="000000"/>
        </w:rPr>
        <w:t>zym dla dachów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t>1. </w:t>
      </w:r>
      <w:r>
        <w:rPr>
          <w:color w:val="000000"/>
          <w:u w:color="000000"/>
        </w:rPr>
        <w:t xml:space="preserve">Dla terenu oznaczonego na rysunku planu symbolem 1ZC – teren cmentarza, ustala się przeznaczenie: 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podstawowe: miejsca pochówku, w tym kolumbaria;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kaplice,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administracji i obsługi cmentarza.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terenu, o którym 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5%;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in</w:t>
      </w:r>
      <w:r>
        <w:rPr>
          <w:color w:val="000000"/>
          <w:u w:color="000000"/>
        </w:rPr>
        <w:t>tensywności zabudowy: od 0,001 do 1,0;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20%;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 maksymalna wysokość obiektów budowlanych: 6,0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Ustala się warunki i zasady kształtowania zabudowy oraz zagospodarowania terenu, o którym </w:t>
      </w:r>
      <w:r>
        <w:rPr>
          <w:color w:val="000000"/>
          <w:u w:color="000000"/>
        </w:rPr>
        <w:t>mowa w ust. 1: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nieprzekraczalna linia zabudowy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dachy – wszystkie formy i konstrukcje, przy czym dla dachów spadowych kąt nachylenia połaci dachowych do 45°.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>Dla terenów oznaczonych na rysunku planu symbolami: 1ZL</w:t>
      </w:r>
      <w:r>
        <w:rPr>
          <w:color w:val="000000"/>
          <w:u w:color="000000"/>
        </w:rPr>
        <w:t>, 2ZL, 3ZL ustala się przeznaczenie: tereny lasów.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terenach, o których mowa w ust. 1 zasady zagospodarowania i ochrony należy prowadzić zgodnie z ustawą z dnia 28 września 1991 r. o lasach.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>Dla terenów oznaczonych na rysunku planu symbolami:</w:t>
      </w:r>
      <w:r>
        <w:rPr>
          <w:color w:val="000000"/>
          <w:u w:color="000000"/>
        </w:rPr>
        <w:t xml:space="preserve"> 1ZN, 2ZN – tereny zieleni nieurządzonej, ustala się przeznaczenie: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podstawowe: tereny zieleni nieurządzonej;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uzupełniające: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zieleni urządzonej,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elementy architektury parkowej;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realizacji budynków i obiektów budowlanych, z zastr</w:t>
      </w:r>
      <w:r>
        <w:rPr>
          <w:color w:val="000000"/>
          <w:u w:color="000000"/>
        </w:rPr>
        <w:t>zeżeniem ust. 1 pkt 2 lit. b i § 5 pkt 2.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parametry i wskaźniki kształtowania zabudowy oraz zagospodarowania terenów, o których mowa w ust. 1: wysokość zabudowy: maksymalna wysokość obiektów budowlanych: 5,0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Dla terenów oznaczonyc</w:t>
      </w:r>
      <w:r>
        <w:rPr>
          <w:color w:val="000000"/>
          <w:u w:color="000000"/>
        </w:rPr>
        <w:t>h na rysunku planu symbolem 1ZP – teren zieleni urządzonej, ustala się przeznaczenie podstawowe: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tereny zieleni urządzonej;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tereny zieleni izolacyjnej;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elementy architektury parkowej.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realizacji budynków i obiektów budowlanych, z zastrzeż</w:t>
      </w:r>
      <w:r>
        <w:rPr>
          <w:color w:val="000000"/>
          <w:u w:color="000000"/>
        </w:rPr>
        <w:t>eniem ust. 1 pkt 3 i § 5 pkt 2.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kształtowania zabudowy oraz zagospodarowania terenów, o których mowa w ust. 1: wysokość zabudowy – maksymalna wysokość obiektów budowlanych: 5,0 m.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29. </w:t>
      </w:r>
      <w:r>
        <w:t>1. </w:t>
      </w:r>
      <w:r>
        <w:rPr>
          <w:color w:val="000000"/>
          <w:u w:color="000000"/>
        </w:rPr>
        <w:t xml:space="preserve">Dla terenu oznaczonego na </w:t>
      </w:r>
      <w:r>
        <w:rPr>
          <w:color w:val="000000"/>
          <w:u w:color="000000"/>
        </w:rPr>
        <w:t>rysunku planu symbolem 1KDG, ustala się przeznaczenie: teren drogi publicznej klasy głównej.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20,9 m do 31,3 m (przy uwzględnieniu stanu istniejącego) – zgodnie z rysunkiem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Dla terenu o</w:t>
      </w:r>
      <w:r>
        <w:rPr>
          <w:color w:val="000000"/>
          <w:u w:color="000000"/>
        </w:rPr>
        <w:t>znaczonego na rysunku planu symbolem: 1KDZ, ustala się przeznaczenie: teren drogi publicznej klasy zbiorczej.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 od 14,5 m do 18,1 m (przy uwzględnieniu stanu istniejącego), z lokalnym poszerzeniem w obrębi</w:t>
      </w:r>
      <w:r>
        <w:rPr>
          <w:color w:val="000000"/>
          <w:u w:color="000000"/>
        </w:rPr>
        <w:t>e skrzyżowania – zgodnie z rysunkiem planu.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>Dla terenów oznaczonych na rysunku planu symbolami: 1KDD, 2KDD, 3KDD, 4KDD, 5KDD, 6KDD, 7KDD, 8KDD, 9KDD, 10KDD, 11KDD, 12KDD, 13KDD, ustala się przeznaczenie: tereny dróg publicznych klasy dojazdowej.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1KDD: 6,0 m (przy uwzględnieniu stanu istniejącego) – z lokalnymi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2KDD: od 12,2 m do 14,9 m, z lokalnymi poszer</w:t>
      </w:r>
      <w:r>
        <w:rPr>
          <w:color w:val="000000"/>
          <w:u w:color="000000"/>
        </w:rPr>
        <w:t>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terenu 3KDD: od 5,0 m do 5,4 m (przy uwzględnieniu stanu istniejącego), z lokalnymi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terenu 4KDD: od 7,5 m do 10,4 m (prz</w:t>
      </w:r>
      <w:r>
        <w:rPr>
          <w:color w:val="000000"/>
          <w:u w:color="000000"/>
        </w:rPr>
        <w:t>y uwzględnieniu stanu istniejącego), z lokalnymi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dla terenu 5KDD: od 5,0 m do 10,2 m (przy uwzględnieniu stanu istniejącego), z lokalnymi poszerzeniami w obrębie skrzyżowań – zgodnie z rysu</w:t>
      </w:r>
      <w:r>
        <w:rPr>
          <w:color w:val="000000"/>
          <w:u w:color="000000"/>
        </w:rPr>
        <w:t>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terenu 6KDD: od 6,0 m do 12,8 m (przy uwzględnieniu stanu istniejącego), z lokalnymi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dla terenu 7KDD: od 6,4 m do 16,0 m (przy uwzględnieniu stanu istniejącego), z lokal</w:t>
      </w:r>
      <w:r>
        <w:rPr>
          <w:color w:val="000000"/>
          <w:u w:color="000000"/>
        </w:rPr>
        <w:t>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dla terenu 8KDD: od 6,0 m do 15,5 m (przy uwzględnieniu stanu istniejącego), z lokalnymi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dla terenu 9KDD: od 6,0 m do</w:t>
      </w:r>
      <w:r>
        <w:rPr>
          <w:color w:val="000000"/>
          <w:u w:color="000000"/>
        </w:rPr>
        <w:t xml:space="preserve"> 13,2 m (przy uwzględnieniu stanu istniejącego), z lokalnymi poszerzeniami w obrębie skrzyżowań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dla terenu 10KDD: od 9,8 m do 35,0 m (przy uwzględnieniu stanu istniejącego), z lokalnymi poszerzeniami w obrębie skrzyżowań – </w:t>
      </w:r>
      <w:r>
        <w:rPr>
          <w:color w:val="000000"/>
          <w:u w:color="000000"/>
        </w:rPr>
        <w:t>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dla terenu 11KDD: 6,0 m (przy uwzględnieniu stanu istniejącego) – zgodnie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dla terenu 12KDD: od 8,0 m do 20,3 m (przy uwzględnieniu stanu istniejącego), z lokalnymi poszerzeniami w obrębie skrzyżowań – z</w:t>
      </w:r>
      <w:r>
        <w:rPr>
          <w:color w:val="000000"/>
          <w:u w:color="000000"/>
        </w:rPr>
        <w:t>godnie z rysunkiem planu;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dla terenu 13KDD: od 6,0 m do 15,5 m (przy uwzględnieniu stanu istniejącego), z lokalnymi poszerzeniami w obrębie skrzyżowań – zgodnie z rysunkiem planu.</w:t>
      </w:r>
    </w:p>
    <w:p w:rsidR="00A77B3E" w:rsidRDefault="0091272B">
      <w:pPr>
        <w:keepNext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rPr>
          <w:color w:val="000000"/>
          <w:u w:color="000000"/>
        </w:rPr>
        <w:t>Wykonanie uchwały powierza się Prezy</w:t>
      </w:r>
      <w:r>
        <w:rPr>
          <w:color w:val="000000"/>
          <w:u w:color="000000"/>
        </w:rPr>
        <w:t>dentowi Miasta.</w:t>
      </w:r>
    </w:p>
    <w:p w:rsidR="00A77B3E" w:rsidRDefault="0091272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33. </w:t>
      </w:r>
      <w:r>
        <w:rPr>
          <w:color w:val="000000"/>
          <w:u w:color="000000"/>
        </w:rPr>
        <w:t>Uchwała wchodzi w życie po upływie 14 dni od dnia jej ogłoszenia w Dzienniku Urzędowym Województwa Śląskiego.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91272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FF7BD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7BD5" w:rsidRDefault="00FF7BD5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7BD5" w:rsidRDefault="0091272B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91272B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LXXIX/996/23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91272B">
      <w:pPr>
        <w:keepNext/>
        <w:spacing w:before="120" w:after="120"/>
        <w:ind w:left="439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LXXIX/996/23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29 maja 2023 r.</w:t>
      </w:r>
    </w:p>
    <w:p w:rsidR="00A77B3E" w:rsidRDefault="0091272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91272B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</w:t>
      </w:r>
      <w:r>
        <w:rPr>
          <w:color w:val="000000"/>
          <w:u w:color="000000"/>
        </w:rPr>
        <w:t>dnia 27 marca 2003 r. o planowaniu i zagospodarowaniu przestrzennym (Dz. U. z 2022 r. poz. 503, z późn. zm.) rozstrzyga się, co następuje: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Nie uwzględnia się w części uwagi, nieuwzględnionej w części przez Prezydenta Miasta, zgłoszonej do ponownie </w:t>
      </w:r>
      <w:r>
        <w:rPr>
          <w:color w:val="000000"/>
          <w:u w:color="000000"/>
        </w:rPr>
        <w:t>wyłożonego do publicznego wglądu projektu planu, wyszczególnionej pod nr 1 w „Wykazie uwag wniesionych do wyłożonego do publicznego wglądu projektu miejscowego planu zagospodarowania przestrzennego terenu położonego w rejonie ulicy Żołnierskiej w Bytomiu –</w:t>
      </w:r>
      <w:r>
        <w:rPr>
          <w:color w:val="000000"/>
          <w:u w:color="000000"/>
        </w:rPr>
        <w:t xml:space="preserve"> etap II – część zachodnia”, zamieszczonym w dokumentacji prac planistycznych i dotyczącej zmiany przeznaczenia części działki nr 1633/182 (obręb Górniki, k. m. 6) z terenu zabudowy mieszkaniowej jednorodzinnej na teren zieleni, a oznaczonej na rysunku pro</w:t>
      </w:r>
      <w:r>
        <w:rPr>
          <w:color w:val="000000"/>
          <w:u w:color="000000"/>
        </w:rPr>
        <w:t>jektu planu symbolem 9MN – teren zabudowy mieszkaniowej jednorodzinnej, z uwagi na fakt, iż na przedmiotowej działce zlokalizowane są cieki, rowy melioracyjne oraz naturalne odpływy ze zbiorników wodnych.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Nie uwzględnia się w części uwagi, o której mowa w ust. 1, ponieważ planuje się na tym terenie realizację zabudowy mieszkaniowej jednorodzinnej, będącej kontynuacją i uzupełnieniem istniejącej w tym rejonie miasta zabudow</w:t>
      </w:r>
      <w:r>
        <w:rPr>
          <w:color w:val="000000"/>
          <w:u w:color="000000"/>
        </w:rPr>
        <w:t xml:space="preserve">y o funkcji mieszkalnej, co jest zgodne z zapisami „Studium uwarunkowań i kierunków zagospodarowania przestrzennego Gminy Bytom”, przyjętego uchwałą nr XVI/204/11 Rady Miejskiej w Bytomiu z dnia 24 sierpnia 2011 r., z późn. zm. Działka nr 1633/182 stanowi </w:t>
      </w:r>
      <w:r>
        <w:rPr>
          <w:color w:val="000000"/>
          <w:u w:color="000000"/>
        </w:rPr>
        <w:t>własność Gminy Bytom. Na przedmiotowym terenie znajdują się cieki oraz rowy melioracyjne, o których pisze składający uwagę, dlatego w planie zawarto zapisy mające na celu ich ochronę. Zgodnie z § 6 ust. 5 przedmiotowej uchwały – w zakresie ochrony wód – us</w:t>
      </w:r>
      <w:r>
        <w:rPr>
          <w:color w:val="000000"/>
          <w:u w:color="000000"/>
        </w:rPr>
        <w:t>tala się nakaz: zachowania ciągłości systemu melioracji, opóźniania spływu wód opadowych i roztopowych do odbiorników poprzez ich retencjonowanie we własnym zakresie w obrębie działki, zabezpieczenia drożności systemu odprowadzania wód na obszarze planu, r</w:t>
      </w:r>
      <w:r>
        <w:rPr>
          <w:color w:val="000000"/>
          <w:u w:color="000000"/>
        </w:rPr>
        <w:t>ealizacji obiektów w sposób niepowodujący zmiany stosunków wodnych na obszarze planu, zachowania istniejących cieków wodnych wraz z towarzyszącymi zadrzewieniami i roślinnością w naturalnej formie.</w:t>
      </w:r>
    </w:p>
    <w:p w:rsidR="00A77B3E" w:rsidRDefault="0091272B">
      <w:pPr>
        <w:keepNext/>
        <w:spacing w:before="120" w:after="120"/>
        <w:ind w:left="439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LXXIX/996/23</w:t>
      </w:r>
      <w:r>
        <w:rPr>
          <w:color w:val="000000"/>
          <w:u w:color="000000"/>
        </w:rPr>
        <w:br/>
        <w:t>Rady Miejskiej w</w:t>
      </w:r>
      <w:r>
        <w:rPr>
          <w:color w:val="000000"/>
          <w:u w:color="000000"/>
        </w:rPr>
        <w:t> Bytomiu</w:t>
      </w:r>
      <w:r>
        <w:rPr>
          <w:color w:val="000000"/>
          <w:u w:color="000000"/>
        </w:rPr>
        <w:br/>
        <w:t>z dnia 29 maja 2023 r.</w:t>
      </w:r>
    </w:p>
    <w:p w:rsidR="00A77B3E" w:rsidRDefault="0091272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zapisanych w planie, inwestycji z zakresu infrastruktury technicznej, które należą do zadań własnych gminy oraz zasadach ich finansowania, zgodnie z przepisami o finansach publicznych</w:t>
      </w:r>
    </w:p>
    <w:p w:rsidR="00A77B3E" w:rsidRDefault="0091272B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</w:t>
      </w:r>
      <w:r>
        <w:rPr>
          <w:color w:val="000000"/>
          <w:u w:color="000000"/>
        </w:rPr>
        <w:t>a podstawie art. 20 ust. 1 ustawy z dnia 27 marca 2003 r. o planowaniu i zagospodarowaniu przestrzennym (Dz. U. z 2022 r. poz. 503, z późn. zm.) rozstrzyga się, co następuje: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W związku z uchwaleniem miejscowego planu zagospodarowania przestrzennego</w:t>
      </w:r>
      <w:r>
        <w:rPr>
          <w:color w:val="000000"/>
          <w:u w:color="000000"/>
        </w:rPr>
        <w:t xml:space="preserve"> dla terenu położonego w rejonie ulicy Żołnierskiej w Bytomiu – etap II – część zachodnia, Gmina Bytom może ponieść wydatki na inwestycje z zakresu infrastruktury technicznej i dróg.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</w:t>
      </w:r>
      <w:r>
        <w:rPr>
          <w:color w:val="000000"/>
          <w:u w:color="000000"/>
        </w:rPr>
        <w:t>et gminy;</w:t>
      </w:r>
    </w:p>
    <w:p w:rsidR="00A77B3E" w:rsidRDefault="009127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współfinansowanie środkami zewnętrznymi, poprzez budżet gminy – w ramach m. in.: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samorządu województwa,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 funduszy celowych,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91272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</w:t>
      </w:r>
      <w:r>
        <w:rPr>
          <w:color w:val="000000"/>
          <w:u w:color="000000"/>
        </w:rPr>
        <w:t>.</w:t>
      </w:r>
    </w:p>
    <w:p w:rsidR="00A77B3E" w:rsidRDefault="0091272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 xml:space="preserve">Prognozowany okres realizacji inwestycji, wymienionych w § 1 ust. 1 przyjmuje się sukcesywnie, w miarę pozyskiwania środków finansowych oraz w oparciu o aktualne </w:t>
      </w:r>
      <w:r>
        <w:rPr>
          <w:color w:val="000000"/>
          <w:u w:color="000000"/>
        </w:rPr>
        <w:t>potrzeby mieszkańców, określane w budżetach rocznych.</w:t>
      </w:r>
    </w:p>
    <w:p w:rsidR="00A77B3E" w:rsidRDefault="0091272B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LXXIX/996/23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Zalacznik4.xml</w:t>
        </w:r>
      </w:hyperlink>
    </w:p>
    <w:p w:rsidR="00A77B3E" w:rsidRDefault="0091272B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Dane przestrzenne, o których mowa w art. 67a ust. 3 i 5 ustawy z dnia 27 marca 2003 r. o planowaniu i zagospodarowaniu przestrzennym (Dz. U. z 2022 r. poz. 503, z późn. zm.) ujawnione zostaną po kliknięciu w ikonę</w:t>
      </w:r>
    </w:p>
    <w:p w:rsidR="00FF7BD5" w:rsidRDefault="0091272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Miejscowy </w:t>
      </w:r>
      <w:r>
        <w:rPr>
          <w:rFonts w:eastAsia="Times New Roman" w:cs="Times New Roman"/>
          <w:szCs w:val="20"/>
        </w:rPr>
        <w:t xml:space="preserve">plan zagospodarowania przestrzennego dla terenu położonego w rejonie ulicy Żołnierskiej w Bytomiu – etap II – część zachodnia opracowany został na podstawie uchwały nr VIII/120/15 Rady Miejskiej w Bytomiu z dnia 27 kwietnia 2015 r. w sprawie przystąpienia </w:t>
      </w:r>
      <w:r>
        <w:rPr>
          <w:rFonts w:eastAsia="Times New Roman" w:cs="Times New Roman"/>
          <w:szCs w:val="20"/>
        </w:rPr>
        <w:t>do sporządzenia miejscowego planu zagospodarowania przestrzennego dla terenu położonego w rejonie ulicy Żołnierskiej w Bytomiu.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objęty projektem planu miejscowego obejmuje powierzchnię ok. 82 ha. Granice obszaru wyznaczają: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od północy, południa i </w:t>
      </w:r>
      <w:r>
        <w:rPr>
          <w:rFonts w:eastAsia="Times New Roman" w:cs="Times New Roman"/>
          <w:szCs w:val="20"/>
        </w:rPr>
        <w:t>zachodu – granica administracyjna miasta Bytomia,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od wschodu – ul. Żołnierska.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realizacji ww. uchwały został opracowany projekt planu miejscowego wraz z prognozą oddziaływania na środowisko i prognozą skutków finansowych uchwalenia planu miejsco</w:t>
      </w:r>
      <w:r>
        <w:rPr>
          <w:rFonts w:eastAsia="Times New Roman" w:cs="Times New Roman"/>
          <w:szCs w:val="20"/>
        </w:rPr>
        <w:t>wego.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został sporządzony z uwzględnieniem zasad planowania przestrzennego, nie narusza on ustaleń „Studium uwarunkowań i kierunków zagospodarowania przestrzennego Gminy Bytom”, przyjętego uchwałą nr XVI/204/11 Rady Miejskiej w Bytomiu z dnia </w:t>
      </w:r>
      <w:r>
        <w:rPr>
          <w:rFonts w:eastAsia="Times New Roman" w:cs="Times New Roman"/>
          <w:szCs w:val="20"/>
        </w:rPr>
        <w:t>24 sierpnia 2011 r., z późn. zm.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Postępowanie zgodne z ustaleniami planu przyczyni się do poprawy stanu zagospodarowania terenów objętych tym opracowaniem, a przede wszystkim terenów zabudowy mieszkaniowej jednorodzinnej, mieszkaniowo-usługowej i usługowej</w:t>
      </w:r>
      <w:r>
        <w:rPr>
          <w:rFonts w:eastAsia="Times New Roman" w:cs="Times New Roman"/>
          <w:szCs w:val="20"/>
        </w:rPr>
        <w:t xml:space="preserve"> oraz umożliwi wprowadzenie nowej zabudowy zgodnej z kierunkami zapisanymi w „Studium uwarunkowań i kierunków zagospodarowania przestrzennego Gminy Bytom”.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</w:t>
      </w:r>
      <w:r>
        <w:rPr>
          <w:rFonts w:eastAsia="Times New Roman" w:cs="Times New Roman"/>
          <w:szCs w:val="20"/>
        </w:rPr>
        <w:t>u i zagospodarowaniu przestrzennym (Dz. U. z 2022 r. poz. 503, z późn. zm.), w szczególności na podstawie art. 17 ustawy.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 ustawy o planowaniu i zagospodarowaniu przestrzennym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</w:t>
      </w:r>
      <w:r>
        <w:rPr>
          <w:rFonts w:eastAsia="Times New Roman" w:cs="Times New Roman"/>
          <w:szCs w:val="20"/>
        </w:rPr>
        <w:t>estrzennego, w tym urbanistyki i architektury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</w:t>
      </w:r>
      <w:r>
        <w:rPr>
          <w:rFonts w:eastAsia="Times New Roman" w:cs="Times New Roman"/>
          <w:szCs w:val="20"/>
        </w:rPr>
        <w:t>iają uwzględnienie w przedmiotowym opracowaniu wymagań ładu przestrzennego, w tym urbanistyki i architektury.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</w:t>
      </w:r>
      <w:r>
        <w:rPr>
          <w:rFonts w:eastAsia="Times New Roman" w:cs="Times New Roman"/>
          <w:szCs w:val="20"/>
        </w:rPr>
        <w:t>renów, które są czynnikami wpływającymi niewątpliwie na możliwość kształtowania krajobrazu i architektury oraz ochronę występujących walorów tak architektonicznych, jak i krajobrazowych.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</w:t>
      </w:r>
      <w:r>
        <w:rPr>
          <w:rFonts w:eastAsia="Times New Roman" w:cs="Times New Roman"/>
          <w:szCs w:val="20"/>
        </w:rPr>
        <w:t>y gruntów rolnych i leśnych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zawiera ustalenia dotyczące zasad ochrony środowiska, przyrody i krajobrazu kulturowego, odnoszące się m. in. do: gospodarowania wodami i ich ochrony, klasyfikacji terenów pod kątem ochrony akustycznej </w:t>
      </w:r>
      <w:r>
        <w:rPr>
          <w:rFonts w:eastAsia="Times New Roman" w:cs="Times New Roman"/>
          <w:szCs w:val="20"/>
        </w:rPr>
        <w:t>i ochrony przed promieniowaniem elektromagnetycznym, ochrony powietrza, ochrony powierzchni ziemi oraz postępowania z odpadami.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Tereny położone w granicach projektu planu miejscowego w przeważającej części ujęte są w Specjalnym Obszarze Ochrony Siedlisk Na</w:t>
      </w:r>
      <w:r>
        <w:rPr>
          <w:rFonts w:eastAsia="Times New Roman" w:cs="Times New Roman"/>
          <w:szCs w:val="20"/>
        </w:rPr>
        <w:t>tura 2000 „Podziemia Tarnogórsko-Bytomskie”, dla którego ustalono realizację zabudowy i zagospodarowania terenów, w tym lokalizowania inwestycji i przedsięwzięć – zgodnie z planem zadań ochronnych wydanym zarządzeniem Regionalnego Dyrektora Ochrony Środowi</w:t>
      </w:r>
      <w:r>
        <w:rPr>
          <w:rFonts w:eastAsia="Times New Roman" w:cs="Times New Roman"/>
          <w:szCs w:val="20"/>
        </w:rPr>
        <w:t>ska w Katowicach z dnia 24 kwietnia 2014 r. w sprawie ustanowienia planu zadań ochronnych dla obszaru Natura 2000 Podziemia Tarnogórsko-Bytomskie PLH240003, zmienionym zarządzeniem Regionalnego Dyrektora Ochrony Środowiska w Katowicach z dnia 18 maja 2015 </w:t>
      </w:r>
      <w:r>
        <w:rPr>
          <w:rFonts w:eastAsia="Times New Roman" w:cs="Times New Roman"/>
          <w:szCs w:val="20"/>
        </w:rPr>
        <w:t>r. o zmianie zarządzenia w sprawie ustanowienia planu zadań ochronnych dla obszaru Natura 2000 Podziemia Tarnogórsko-Bytomskie PLH240003.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Przedmiotowy projekt planu miejscowego nie obejmuje gruntów rolnych podlegających ochronie, w związku z czym nie jest </w:t>
      </w:r>
      <w:r>
        <w:rPr>
          <w:rFonts w:eastAsia="Times New Roman" w:cs="Times New Roman"/>
          <w:szCs w:val="20"/>
        </w:rPr>
        <w:t>wymagane ustalenie zasad ich ochrony.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grunty leśne, dla których zasady zagospodarowania i ochrony reguluje ustawa z dnia 28 września 1991 r. o lasach.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</w:t>
      </w:r>
      <w:r>
        <w:rPr>
          <w:rFonts w:eastAsia="Times New Roman" w:cs="Times New Roman"/>
          <w:szCs w:val="20"/>
        </w:rPr>
        <w:t>ółczesnej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obszarze planu znajduje się obiekt budowlany o wartościach kulturowych – zespół cmentarza parafialnego, ujęty w gminnej ewidencji zabytków i objęty ochroną w planie, dla którego – w celu jego ochrony – określono nakazy i dopuszczenia. Ponadto, </w:t>
      </w:r>
      <w:r>
        <w:rPr>
          <w:rFonts w:eastAsia="Times New Roman" w:cs="Times New Roman"/>
          <w:szCs w:val="20"/>
        </w:rPr>
        <w:t>w obszarze planu występuje obiekt małej architektury o wartościach kulturowych – krucyfiks, ujęty w gminnej ewidencji zabytków i objęty ochroną w planie, dla którego – w celu jego ochrony – określono zakazy, nakazy i dopuszczenia.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występuj</w:t>
      </w:r>
      <w:r>
        <w:rPr>
          <w:rFonts w:eastAsia="Times New Roman" w:cs="Times New Roman"/>
          <w:szCs w:val="20"/>
        </w:rPr>
        <w:t>e stanowisko archeologiczne, dla którego warunki ochrony określa ustawa z dnia 23 lipca 2003 r. o ochronie zabytków i opiece nad zabytkami.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planem nie występują dobra kultury współczesnej, w związku z czym plan nie ustala wymogów ich och</w:t>
      </w:r>
      <w:r>
        <w:rPr>
          <w:rFonts w:eastAsia="Times New Roman" w:cs="Times New Roman"/>
          <w:szCs w:val="20"/>
        </w:rPr>
        <w:t>rony.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 mienia, a także potrzeby osób ze szczególnymi potrzebami, o których mowa w ustawie z dnia 19 lipca 2019 r. o zapewnieniu dostępności osobom ze szczególnymi potrzebami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</w:t>
      </w:r>
      <w:r>
        <w:rPr>
          <w:rFonts w:eastAsia="Times New Roman" w:cs="Times New Roman"/>
          <w:szCs w:val="20"/>
        </w:rPr>
        <w:t xml:space="preserve"> nie wpływa negatywnie na wymagania z zakresu ochrony zdrowia oraz bezpieczeństwa ludzi i mienia, a także potrzeby osób niepełnosprawnych. Zapisy mające na celu ochronę zdrowia oraz bezpieczeństwa ludzi i mienia zawarto między innymi w ustaleniach dotycząc</w:t>
      </w:r>
      <w:r>
        <w:rPr>
          <w:rFonts w:eastAsia="Times New Roman" w:cs="Times New Roman"/>
          <w:szCs w:val="20"/>
        </w:rPr>
        <w:t>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</w:t>
      </w:r>
      <w:r>
        <w:rPr>
          <w:rFonts w:eastAsia="Times New Roman" w:cs="Times New Roman"/>
          <w:szCs w:val="20"/>
        </w:rPr>
        <w:t>owania przestrzennego Gminy Bytom”, uwzględnia walory ekonomiczne przestrzeni.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w projekcie planu dla wszystkich terenów określono stawkę procentową służącą naliczaniu opłaty z tytułu wzrostu wartości nieruchomości w wysokości 30%.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</w:t>
      </w:r>
      <w:r>
        <w:rPr>
          <w:rFonts w:eastAsia="Times New Roman" w:cs="Times New Roman"/>
          <w:szCs w:val="20"/>
        </w:rPr>
        <w:t>sności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 xml:space="preserve">Ustalenia planu oraz przeznaczenia poszczególnych terenów wydzielonych liniami rozgraniczającymi uwzględniają poszanowanie prawa własności. Jednakże z uwagi na potrzebę wydzielania nowych dróg publicznych i dostosowywania istniejących do </w:t>
      </w:r>
      <w:r>
        <w:rPr>
          <w:rFonts w:eastAsia="Times New Roman" w:cs="Times New Roman"/>
          <w:szCs w:val="20"/>
        </w:rPr>
        <w:t>odpowiednich parametrów, może zajść konieczność pozyskania części nieruchomości niebędących własnością Gminy Bytom.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planu nie występują tereny ani obiekty służące obronności i bezpieczeństwu państw</w:t>
      </w:r>
      <w:r>
        <w:rPr>
          <w:rFonts w:eastAsia="Times New Roman" w:cs="Times New Roman"/>
          <w:szCs w:val="20"/>
        </w:rPr>
        <w:t>a. W toku procedury planistycznej stosowne organy wojskowe, ochrony granic i bezpieczeństwa państwa zostały zawiadomione o przystąpieniu do sporządzenia przedmiotowego planu, a przedstawiony im projekt planu uzgodniły pozytywnie.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</w:t>
      </w:r>
      <w:r>
        <w:rPr>
          <w:rFonts w:eastAsia="Times New Roman" w:cs="Times New Roman"/>
          <w:szCs w:val="20"/>
        </w:rPr>
        <w:t>cznego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między innymi poprzez realizację inwestycji celu publicznego, takich jak: budowa nowych dróg oraz niezbędnej infrastruktury technicznej.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</w:t>
      </w:r>
      <w:r>
        <w:rPr>
          <w:rFonts w:eastAsia="Times New Roman" w:cs="Times New Roman"/>
          <w:szCs w:val="20"/>
        </w:rPr>
        <w:t>ie rozwoju infrastruktury technicznej, w szczególności sieci szerokopasmowych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11. Zapewnienie udziału społeczeństwa w pracach </w:t>
      </w:r>
      <w:r>
        <w:rPr>
          <w:rFonts w:eastAsia="Times New Roman" w:cs="Times New Roman"/>
          <w:szCs w:val="20"/>
        </w:rPr>
        <w:t>nad miejscowym planem zagospodarowania przestrzennego, w tym przy użyciu środków komunikacji elektronicznej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</w:t>
      </w:r>
      <w:r>
        <w:rPr>
          <w:rFonts w:eastAsia="Times New Roman" w:cs="Times New Roman"/>
          <w:szCs w:val="20"/>
        </w:rPr>
        <w:t>nej zostało zrealizowane poprzez: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w prasie, w serwisie internetowym miasta oraz w Biuletynie Informacji Publicznej i na tablicy ogłoszeń Urzędu Miejskiego w Bytomiu ogłoszeń i obwieszczeń o: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planu miejscowe</w:t>
      </w:r>
      <w:r>
        <w:rPr>
          <w:rFonts w:eastAsia="Times New Roman" w:cs="Times New Roman"/>
          <w:szCs w:val="20"/>
        </w:rPr>
        <w:t>go, możliwości składania wniosków, uwag oraz możliwości zapoznania się z dokumentacją sprawy,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planu, możliwości składania wniosków, uwag oraz możliwości zapoznania się z niezbędną dokumentacją sprawy oraz udostęp</w:t>
      </w:r>
      <w:r>
        <w:rPr>
          <w:rFonts w:eastAsia="Times New Roman" w:cs="Times New Roman"/>
          <w:szCs w:val="20"/>
        </w:rPr>
        <w:t>nienia projektu planu do wglądu w formie elektronicznej;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23 stycznia 2023 r. do 21 lutego 2023 r. wyłożenia do publicznego wglądu projektu planu wraz z prognozą oddziaływania na środowisko i zorganizowanie dnia 13 lutego 2023</w:t>
      </w:r>
      <w:r>
        <w:rPr>
          <w:rFonts w:eastAsia="Times New Roman" w:cs="Times New Roman"/>
          <w:szCs w:val="20"/>
        </w:rPr>
        <w:t> r. dyskusji publicznej nad przyjętymi w projekcie planu rozwiązaniami;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planu w terminie nie krótszym niż 14 dni od daty zakończenia okresu wyłożenia, tj. do 7 marca 2023 r.;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przeprowadzenie w dniach od 28 marc</w:t>
      </w:r>
      <w:r>
        <w:rPr>
          <w:rFonts w:eastAsia="Times New Roman" w:cs="Times New Roman"/>
          <w:szCs w:val="20"/>
        </w:rPr>
        <w:t>a 2023 r. do 28 kwietnia 2023 r. ponownego wyłożenia do publicznego wglądu projektu planu wraz z prognozą oddziaływania na środowisko i zorganizowanie dnia 3 kwietnia 2023 r. dyskusji publicznej nad przyjętymi w projekcie planu rozwiązaniami;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 umożliwien</w:t>
      </w:r>
      <w:r>
        <w:rPr>
          <w:rFonts w:eastAsia="Times New Roman" w:cs="Times New Roman"/>
          <w:szCs w:val="20"/>
        </w:rPr>
        <w:t>ie składania uwag do projektu planu w terminie nie krótszym niż 14 dni od daty zakończenia okresu wyłożenia, tj. do 12 maja 2023 r.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podanym wyżej terminie na składanie uwag po ponownym wyłożeniu do publicznego wglądu projektu planu wraz z prognozą oddzia</w:t>
      </w:r>
      <w:r>
        <w:rPr>
          <w:rFonts w:eastAsia="Times New Roman" w:cs="Times New Roman"/>
          <w:szCs w:val="20"/>
        </w:rPr>
        <w:t xml:space="preserve">ływania na środowisko wpłynęła uwaga </w:t>
      </w:r>
      <w:r>
        <w:rPr>
          <w:rFonts w:eastAsia="Times New Roman" w:cs="Times New Roman"/>
          <w:szCs w:val="20"/>
        </w:rPr>
        <w:lastRenderedPageBreak/>
        <w:t>dotycząca zmiany przeznaczenia części działek nr: 1634/182, 1633/182 (obręb Górniki, k. m. 6) – stanowiących własność Gminy Bytom – z terenu zabudowy mieszkaniowej jednorodzinnej na teren zieleni, a oznaczonych odpowied</w:t>
      </w:r>
      <w:r>
        <w:rPr>
          <w:rFonts w:eastAsia="Times New Roman" w:cs="Times New Roman"/>
          <w:szCs w:val="20"/>
        </w:rPr>
        <w:t>nio na rysunku projektu planu symbolami: 10MN, 9MN - tereny zabudowy mieszkaniowej jednorodzinnej. Prezydent Miasta, po zapoznaniu się z treścią przedmiotowej uwagi, uwzględnił uwagę w części dotyczącej działki nr 1634/182. Działka ta jest własnością Gminy</w:t>
      </w:r>
      <w:r>
        <w:rPr>
          <w:rFonts w:eastAsia="Times New Roman" w:cs="Times New Roman"/>
          <w:szCs w:val="20"/>
        </w:rPr>
        <w:t xml:space="preserve"> Bytom, a zmiana jej przeznaczenia z terenu zabudowy mieszkaniowej jednorodzinnej na teren zieleni nieurządzonej nie wpłynie na ograniczenie własności i korzystania z innych działek. W związku z tym wprowadzona zmiana nie wymagała ponowienia procedury plan</w:t>
      </w:r>
      <w:r>
        <w:rPr>
          <w:rFonts w:eastAsia="Times New Roman" w:cs="Times New Roman"/>
          <w:szCs w:val="20"/>
        </w:rPr>
        <w:t>istycznej.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</w:t>
      </w:r>
      <w:r>
        <w:rPr>
          <w:rFonts w:eastAsia="Times New Roman" w:cs="Times New Roman"/>
          <w:szCs w:val="20"/>
        </w:rPr>
        <w:t>r. o planowaniu i zagospodarowaniu przestrzennym (Dz. U. z 2022 r. poz. 503, z późn. zm.), jak również na podstawie art. 21, art. 39 i art. 54 ustawy z dnia 3 października 2008 r. o udostępnieniu informacji o środowisku i jego ochronie, udziale społeczeńst</w:t>
      </w:r>
      <w:r>
        <w:rPr>
          <w:rFonts w:eastAsia="Times New Roman" w:cs="Times New Roman"/>
          <w:szCs w:val="20"/>
        </w:rPr>
        <w:t>wa w ochronie środowiska oraz o ocenach oddziaływania na środowisko (Dz. U. z 2022 r. poz. 1029, z późn. zm.).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</w:t>
      </w:r>
      <w:r>
        <w:rPr>
          <w:rFonts w:eastAsia="Times New Roman" w:cs="Times New Roman"/>
          <w:szCs w:val="20"/>
        </w:rPr>
        <w:t xml:space="preserve"> zasad zaopatrzenia w wodę, które przełożą się na zapewnienie odpowiedniej ilości i jakości wody w stosunku do planowanego zagospodarowania terenów.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</w:t>
      </w:r>
      <w:r>
        <w:rPr>
          <w:rFonts w:eastAsia="Times New Roman" w:cs="Times New Roman"/>
          <w:szCs w:val="20"/>
        </w:rPr>
        <w:t>arowania i korzystania z terenu, między interesem publicznym, a interesami prywatnymi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Ustalając przeznaczenie terenu, a także określając sposób zagospodarowania i korzystania z terenu, Prezydent Miasta wziął pod uwagę interes publiczny i interesy prywatne </w:t>
      </w:r>
      <w:r>
        <w:rPr>
          <w:rFonts w:eastAsia="Times New Roman" w:cs="Times New Roman"/>
          <w:szCs w:val="20"/>
        </w:rPr>
        <w:t>oraz ustosunkował się do zgłoszonych wniosków i uwag.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Wymagania ładu przestrzennego, efektywnego gospodarowania przestrzenią oraz walorów ekonomicznych przestrzeni, w przypadku sytuowania nowej zabudowy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</w:t>
      </w:r>
      <w:r>
        <w:rPr>
          <w:rFonts w:eastAsia="Times New Roman" w:cs="Times New Roman"/>
          <w:szCs w:val="20"/>
        </w:rPr>
        <w:t>no wymagania ładu przestrzennego, efektywne gospodarowanie przestrzenią oraz walory ekonomiczne przestrzeni, w szczególności: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oparto o istniejący system komunikacyjny z uwzględnieniem jego przebudowy oraz rozbudowy o projektowane d</w:t>
      </w:r>
      <w:r>
        <w:rPr>
          <w:rFonts w:eastAsia="Times New Roman" w:cs="Times New Roman"/>
          <w:szCs w:val="20"/>
        </w:rPr>
        <w:t>rogi, umożliwiające obsługę komunikacyjną terenów;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rekreacyjne, dojazdy, ciągi piesze, piesz</w:t>
      </w:r>
      <w:r>
        <w:rPr>
          <w:rFonts w:eastAsia="Times New Roman" w:cs="Times New Roman"/>
          <w:szCs w:val="20"/>
        </w:rPr>
        <w:t>o-jezdne i ścieżki rowerowe, zieleń urządzona, obiekty małej architektury, elementy Systemu Identyfikacji Miejskiej oraz elementy wyposażenia miejskiego.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 – zgodnie z kierunkami określonymi w „Studium uwarunkowań i kierunków za</w:t>
      </w:r>
      <w:r>
        <w:rPr>
          <w:rFonts w:eastAsia="Times New Roman" w:cs="Times New Roman"/>
          <w:szCs w:val="20"/>
        </w:rPr>
        <w:t>gospodarowania przestrzennego Gminy Bytom” – nowa zabudowa przyczyni się do bardziej efektywnego wykorzystania terenów.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II. Zgodność z wynikami analizy, o której mowa w art. 32 ust. 1 ustawy o planowaniu i zagospodarowaniu przestrzennym wraz z datą uchwały</w:t>
      </w:r>
      <w:r>
        <w:rPr>
          <w:rFonts w:eastAsia="Times New Roman" w:cs="Times New Roman"/>
          <w:szCs w:val="20"/>
        </w:rPr>
        <w:t xml:space="preserve"> rady gminy, o której mowa w art. 32 ust. 2 ww. ustawy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plan nie wykazuje niezgodności z wynikami analizy zmian w zagospodarowaniu przestrzennym gminy w związku z oceną aktualności „Studium uwarunkowań i kierunków zagospodarowania przestrzennego</w:t>
      </w:r>
      <w:r>
        <w:rPr>
          <w:rFonts w:eastAsia="Times New Roman" w:cs="Times New Roman"/>
          <w:szCs w:val="20"/>
        </w:rPr>
        <w:t xml:space="preserve"> Gminy Bytom” oraz miejscowych planów zagospodarowania przestrzennego przyjętą uchwałą nr LXXII/904/18 Rady Miejskiej w Bytomiu z dnia 24 września 2018 r. W ww. analizie wskazano bowiem m. in. na potrzebę sporządzenia miejscowych planów zagospodarowania pr</w:t>
      </w:r>
      <w:r>
        <w:rPr>
          <w:rFonts w:eastAsia="Times New Roman" w:cs="Times New Roman"/>
          <w:szCs w:val="20"/>
        </w:rPr>
        <w:t>zestrzennego dla terenów nieobjętych planami miejscowymi, z uwzględnieniem obecnych potrzeb rozwoju przestrzennego miasta.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</w:t>
      </w:r>
      <w:r>
        <w:rPr>
          <w:rFonts w:eastAsia="Times New Roman" w:cs="Times New Roman"/>
          <w:szCs w:val="20"/>
        </w:rPr>
        <w:t>scowego planu zagospodarowania przestrzennego stwierdzono, że: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wskaźnik ekonomiczny inwestycji, jaką jest uchwalenie miejscowego planu zagospodarowania przestrzennego dla terenu położonego w rejonie ulicy Żołnierskiej w Bytomiu – etap II  – część zachod</w:t>
      </w:r>
      <w:r>
        <w:rPr>
          <w:rFonts w:eastAsia="Times New Roman" w:cs="Times New Roman"/>
          <w:szCs w:val="20"/>
        </w:rPr>
        <w:t>nia, jest ujemny, co wynika z przewyższających dochód wydatków, jakie są po stronie Gminy Bytom w myśl projektu planu oraz założeń przyjętych w prognozie;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głównym kosztem jest realizacja zadań własnych Gminy, do których należy m. in. budowa infrastruktu</w:t>
      </w:r>
      <w:r>
        <w:rPr>
          <w:rFonts w:eastAsia="Times New Roman" w:cs="Times New Roman"/>
          <w:szCs w:val="20"/>
        </w:rPr>
        <w:t>ry technicznej oraz dróg publicznych. W związku z możliwością pozyskania środków zewnętrznych na budowę dróg i sieci uzbrojenia terenów, wskaźnik ekonomiczny inwestycji może ulec poprawie;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ze względu na aktualną strukturę własności, grunty stanowiące wł</w:t>
      </w:r>
      <w:r>
        <w:rPr>
          <w:rFonts w:eastAsia="Times New Roman" w:cs="Times New Roman"/>
          <w:szCs w:val="20"/>
        </w:rPr>
        <w:t>asność lub użytkowanie wieczyste Gminy Bytom mogą przynieść jej dochód z tytułu ich sprzedaży oraz z tytułu podatków od nieruchomości, które przyszły nabywca będzie opłacać;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obszar położony w granicach przedmiotowego projektu planu posiada spory potencj</w:t>
      </w:r>
      <w:r>
        <w:rPr>
          <w:rFonts w:eastAsia="Times New Roman" w:cs="Times New Roman"/>
          <w:szCs w:val="20"/>
        </w:rPr>
        <w:t>ał z uwagi na: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tereny wolne od zabudowy, które mogą zostać zabudowane zgodnie z przeznaczeniem wskazanym w projekcie planu,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lokalizację w sąsiedztwie terenów zieleni i terenów lasów,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c) dobre skomunikowanie z centrum Bytomia oraz sąsiadującymi miasta</w:t>
      </w:r>
      <w:r>
        <w:rPr>
          <w:rFonts w:eastAsia="Times New Roman" w:cs="Times New Roman"/>
          <w:szCs w:val="20"/>
        </w:rPr>
        <w:t>mi: Zabrzem i Tarnowskimi Górami;</w:t>
      </w:r>
    </w:p>
    <w:p w:rsidR="00FF7BD5" w:rsidRDefault="0091272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 uwagi na fakt, iż nie ma możliwości dokładnego określenia powierzchni użytkowych budynków, które mogą zostać wybudowane na gruntach inwestycyjnych, w prognozie skutków finansowych uchwalenia planu nie uwzględniono wpł</w:t>
      </w:r>
      <w:r>
        <w:rPr>
          <w:rFonts w:eastAsia="Times New Roman" w:cs="Times New Roman"/>
          <w:szCs w:val="20"/>
        </w:rPr>
        <w:t>ywów z tytułu podatków od nieruchomości za budynki i budowle. Niemniej jednak, możliwość uzyskania w przyszłości podatku od nieruchomości wpłynie korzystnie na wynik finansowy przedmiotowego planu miejscowego.</w:t>
      </w:r>
    </w:p>
    <w:sectPr w:rsidR="00FF7BD5" w:rsidSect="00FF7BD5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BD5" w:rsidRDefault="00FF7BD5" w:rsidP="00FF7BD5">
      <w:r>
        <w:separator/>
      </w:r>
    </w:p>
  </w:endnote>
  <w:endnote w:type="continuationSeparator" w:id="0">
    <w:p w:rsidR="00FF7BD5" w:rsidRDefault="00FF7BD5" w:rsidP="00FF7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F7BD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rPr>
              <w:sz w:val="18"/>
            </w:rPr>
          </w:pPr>
          <w:r>
            <w:rPr>
              <w:sz w:val="18"/>
            </w:rPr>
            <w:t>Id: C4B0C362-F676-4F3D-A3D4-2CFAE93185F8.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F7BD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FF7BD5">
            <w:rPr>
              <w:sz w:val="18"/>
            </w:rPr>
            <w:fldChar w:fldCharType="end"/>
          </w:r>
        </w:p>
      </w:tc>
    </w:tr>
  </w:tbl>
  <w:p w:rsidR="00FF7BD5" w:rsidRDefault="00FF7BD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F7BD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rPr>
              <w:sz w:val="18"/>
            </w:rPr>
          </w:pPr>
          <w:r>
            <w:rPr>
              <w:sz w:val="18"/>
            </w:rPr>
            <w:t>Id: C4B0C362-F676-4F3D-A3D4-2CFAE93185F8.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F7BD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23</w:t>
          </w:r>
          <w:r w:rsidR="00FF7BD5">
            <w:rPr>
              <w:sz w:val="18"/>
            </w:rPr>
            <w:fldChar w:fldCharType="end"/>
          </w:r>
        </w:p>
      </w:tc>
    </w:tr>
  </w:tbl>
  <w:p w:rsidR="00FF7BD5" w:rsidRDefault="00FF7BD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F7BD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rPr>
              <w:sz w:val="18"/>
            </w:rPr>
          </w:pPr>
          <w:r>
            <w:rPr>
              <w:sz w:val="18"/>
            </w:rPr>
            <w:t>Id: C4B0C362-F676-4F3D-A3D4-2CFAE93185F8.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F7BD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24</w:t>
          </w:r>
          <w:r w:rsidR="00FF7BD5">
            <w:rPr>
              <w:sz w:val="18"/>
            </w:rPr>
            <w:fldChar w:fldCharType="end"/>
          </w:r>
        </w:p>
      </w:tc>
    </w:tr>
  </w:tbl>
  <w:p w:rsidR="00FF7BD5" w:rsidRDefault="00FF7BD5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F7BD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rPr>
              <w:sz w:val="18"/>
            </w:rPr>
          </w:pPr>
          <w:r>
            <w:rPr>
              <w:sz w:val="18"/>
            </w:rPr>
            <w:t>Id: C4B0C362-F676-4F3D-A3D4-2CFAE93185F8.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F7BD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25</w:t>
          </w:r>
          <w:r w:rsidR="00FF7BD5">
            <w:rPr>
              <w:sz w:val="18"/>
            </w:rPr>
            <w:fldChar w:fldCharType="end"/>
          </w:r>
        </w:p>
      </w:tc>
    </w:tr>
  </w:tbl>
  <w:p w:rsidR="00FF7BD5" w:rsidRDefault="00FF7BD5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F7BD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rPr>
              <w:sz w:val="18"/>
            </w:rPr>
          </w:pPr>
          <w:r>
            <w:rPr>
              <w:sz w:val="18"/>
            </w:rPr>
            <w:t>Id: C4B0C362-F676-4F3D-A3D4-2CFAE93185F8.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F7BD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26</w:t>
          </w:r>
          <w:r w:rsidR="00FF7BD5">
            <w:rPr>
              <w:sz w:val="18"/>
            </w:rPr>
            <w:fldChar w:fldCharType="end"/>
          </w:r>
        </w:p>
      </w:tc>
    </w:tr>
  </w:tbl>
  <w:p w:rsidR="00FF7BD5" w:rsidRDefault="00FF7BD5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FF7BD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rPr>
              <w:sz w:val="18"/>
            </w:rPr>
          </w:pPr>
          <w:r>
            <w:rPr>
              <w:sz w:val="18"/>
            </w:rPr>
            <w:t>Id: C4B0C362-F676-4F3D-A3D4-2CFAE93185F8. Podp</w:t>
          </w:r>
          <w:r>
            <w:rPr>
              <w:sz w:val="18"/>
            </w:rPr>
            <w:t>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F7BD5" w:rsidRDefault="0091272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F7BD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31</w:t>
          </w:r>
          <w:r w:rsidR="00FF7BD5">
            <w:rPr>
              <w:sz w:val="18"/>
            </w:rPr>
            <w:fldChar w:fldCharType="end"/>
          </w:r>
        </w:p>
      </w:tc>
    </w:tr>
  </w:tbl>
  <w:p w:rsidR="00FF7BD5" w:rsidRDefault="00FF7BD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BD5" w:rsidRDefault="00FF7BD5" w:rsidP="00FF7BD5">
      <w:r>
        <w:separator/>
      </w:r>
    </w:p>
  </w:footnote>
  <w:footnote w:type="continuationSeparator" w:id="0">
    <w:p w:rsidR="00FF7BD5" w:rsidRDefault="00FF7BD5" w:rsidP="00FF7B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1272B"/>
    <w:rsid w:val="00A77B3E"/>
    <w:rsid w:val="00CA2A55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7BD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F16AE316-6583-4E37-865E-6331EAB4B07C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AppData\Local\Temp\Legislator\F16AE316-6583-4E37-865E-6331EAB4B07C\Zalacznik4.x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9596</Words>
  <Characters>61155</Characters>
  <Application>Microsoft Office Word</Application>
  <DocSecurity>0</DocSecurity>
  <Lines>509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70610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LXXIX/996/23 z dnia 29 maja 2023 r.</dc:title>
  <dc:subject>w sprawie uchwalenia miejscowego planu zagospodarowania przestrzennego dla terenu położonego w^rejonie ulicy Żołnierskiej w^Bytomiu – etap II – część zachodnia</dc:subject>
  <dc:creator>asteuer</dc:creator>
  <cp:lastModifiedBy>asteuer</cp:lastModifiedBy>
  <cp:revision>2</cp:revision>
  <dcterms:created xsi:type="dcterms:W3CDTF">2023-05-30T09:35:00Z</dcterms:created>
  <dcterms:modified xsi:type="dcterms:W3CDTF">2023-05-30T09:35:00Z</dcterms:modified>
  <cp:category>Akt prawny</cp:category>
</cp:coreProperties>
</file>