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XL/549/21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uchwalenia zmiany Studium uwarunkowań i kierunków zagospodarowania przestrzennego Gminy Bytom, przyjętego uchwałą nr XVI/204/11 Rady Miejskiej w Bytomiu z dnia 24 sierpnia 2011 r., zmienionego uchwałą nr X/120/13 Rady Miejskiej w Bytomiu z dnia 25 lutego 2013 r., uchwałą nr XXXVIII/485/17 Rady Miejskiej w Bytomiu z dnia 27 lutego 2017 r., uchwałą nr LXI/814/18 Rady Miejskiej w Bytomiu z dnia 26 marca 2018 r., i uchwałą nr LXIV/839/18 Rady Miejskiej w Bytomiu z dnia 28 maja 2018 r. oraz uchwałą nr XXXII/463/20  Rady Miejskiej w Bytomiu z dnia 28 września 2020  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planowaniu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zagospodarowaniu przestrzennym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293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Uchwala się zmianę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kierunków zagospodarowania przestrzennego Gminy Bytom, przyjętego uchwałą nr XVI/204/11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Bytomiu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zmienionego uchwałą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X/120/13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Bytomiu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lutego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uchwałą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XXXVIII/485/17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Bytomiu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lutego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uchwałą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LXI/814/18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Bytomiu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uchwałą nr LXIV/839/18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Bytomiu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oraz uchwałą nr XXXII/463/20  Rady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Bytomiu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Załącznikami do niniejszej uchwały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Uwarunkowania Zagospodarowania Przestrzennego (wraz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załącznikami tekstowymi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tabelarycznymi UT/1 - UT/41) – tekst ujednolicony, stanowiący załącznik nr 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tom II – Kierunki Zagospodarowania Przestrzennego (wraz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załącznikami tekstowymi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tabelarycznymi KT/1.1; KT/2.1 - KT/2.14; KT/3.1) – tekst ujednolicony, stanowiący załącznik nr 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rysunki Studium – Uwarunkowania Zagospodarowania Przestrzennego (oznaczone symbolami: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 - IJ_4) – rysunki ujednolicone, stanowiące załączniki nr 3.1 - 3.15;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rysunki Studium – Kierunki Zagospodarowania Przestrzennego (oznaczone symbolami: IIA - IIE) – rysunki ujednolicone, stanowiące załączniki nr 4.1 - 4.5;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rozstrzygnięcie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sposobie rozpatrzenia uwag, stanowiące załącznik nr 5;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przestrzenne dla aktu planowania przestrzennego, stanowiące załącznik nr 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Zalacznik3.1.pdf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3.2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12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Zalacznik3.2.pdf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3.3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1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Zalacznik3.3.pdf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1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3.4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1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Zalacznik3.4.pdf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1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3.5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18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Zalacznik3.5.pdf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1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3.6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20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Zalacznik3.6.pdf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2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3.7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22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Zalacznik3.7.pdf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2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3.8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2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Zalacznik3.8.pdf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2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3.9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2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Zalacznik3.9.pdf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2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3.10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28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Zalacznik3.10.pdf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2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3.11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30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Zalacznik3.11.pdf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3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3.12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32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Zalacznik3.12.pdf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3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3.13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3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Zalacznik3.13.pdf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3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3.14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3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Zalacznik3.14.pdf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3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3.15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38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Zalacznik3.15.pdf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3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4.1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40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Zalacznik4.1.pdf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4.2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42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Zalacznik4.2.pdf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4.3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4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Zalacznik4.3.pdf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4.4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4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Zalacznik4.4.pdf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4.5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48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Zalacznik4.5.pdf</w:t>
        </w:r>
      </w:hyperlink>
    </w:p>
    <w:p w:rsidR="00A77B3E">
      <w:pPr>
        <w:spacing w:before="120" w:after="120" w:line="360" w:lineRule="auto"/>
        <w:ind w:left="536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uchwały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Rozstrzygnięcie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sposobie rozpatrzenia nieuwzględnionych uwag do projektu zmiany Studium uwarunkowań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Gminy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zagospodarowaniu przestrzennym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293,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 odstępuje się: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wyrażenia stanowiska wobec uwag nieuwzględnionych przez Prezydenta Miasta ze względu na fakt, iż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złożono uwag do projektu zmiany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Gminy Bytom, wyłożonego do publicznego wglądu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dniach od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jak również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wpłynęły one po wyłożeniu,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wyznaczonym do ich wnoszenia, tj. do dnia 30 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keepLines w:val="0"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Załącznik Nr 6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XL/549/21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22 lutego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0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Zalacznik6.xml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przestrzenne dla aktu planowania przestrzennego w postaci cyfrowej, o których mowa w art. 67a ust. 3 i 5 ustawy z dnia 27 marca 2003 r. o planowaniu i zagospodarowaniu przestrzennym (Dz. U. z 2020 r. poz. 293 z późn. zm.), utworzone dla zmiany Studium uwarunkowań i kierunków zagospodarowania przestrzennego Gminy Bytom, przyjętego uchwałą nr XVI/204/11 Rady Miejskiej w Bytomiu z dnia 24 sierpnia 2011 r., zmienionego uchwałą nr X/120/13 Rady Miejskiej w Bytomiu z dnia 25 lutego 2013 r., uchwałą nr XXXVIII/485/17 Rady Miejskiej w Bytomiu z dnia 27 lutego 2017 r., uchwałą nr LXI/814/18 Rady Miejskiej w Bytomiu z dnia 26 marca 2018 r., i uchwałą nr LXIV/839/18 Rady Miejskiej w Bytomiu z dnia 28 maja 2018 r. oraz uchwałą nr XXXII/463/20 Rady Miejskiej w Bytomiu z dnia 28 września 2020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Zmiana Studium opracowana została na podstawie uchwały nr XIII/157/19 Rady Miejskiej w Bytomiu z dnia 24 maja 2019 r. w sprawie przystąpienia do sporządzenia zmiany Studium uwarunkowań i kierunków zagospodarowania przestrzennego Gminy Bytom, przyjętego uchwałą nr XVI/204/11 Rady Miejskiej w Bytomiu z dnia 24 sierpnia 2011 r., zmienionego uchwałą nr X/120/13 Rady Miejskiej w Bytomiu z dnia 25 lutego 2013 r., uchwałą nr XXXVIII/485/17 Rady Miejskiej w Bytomiu z dnia 27 lutego 2017 r. i uchwałą nr LXI/814/18 Rady Miejskiej w Bytomiu z dnia 26 marca 2018 r. oraz uchwałą nr LXIV/839/18 Rady Miejskiej w Bytomiu z dnia 28 maja 2018 r., dla trzynastu obszarów oraz uchwały XXII/322/19 Rady Miejskiej w Bytomiu z dnia 16 grudnia 2019 r. zmieniającej uchwałę nr XIII/157/19 Rady Miejskiej w Bytomiu w sprawie przystąpienia do sporządzenia zmiany Studium uwarunkowań i kierunków zagospodarowania przestrzennego Gminy Bytom, przyjętego uchwałą nr XVI/204/11 Rady Miejskiej w Bytomiu z dnia 24 sierpnia 2011 r., zmienionego uchwałą nr X/120/13 Rady Miejskiej w Bytomiu z dnia 25 lutego 2013 r., uchwałą nr XXXVIII/485/17 Rady Miejskiej w Bytomiu z dnia 27 lutego 2017 r. i uchwałą nr LXI/814/18 Rady Miejskiej w Bytomiu z dnia 26 marca 2018 r. oraz uchwałą nr LXIV/839/18 Rady Miejskiej w Bytomiu z dnia 28 maja 2018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Celem przedmiotowej zmiany Studium jest wprowadzenie korekt i dostosowanie zapisów Studium do aktualnych uwarunkowań i potrzeb rozwojowych miasta. W wyniku przeprowadzonej analizy ustaleń Studium stwierdzono, że dla niektórych terenów istniejący i docelowy sposób zagospodarowania odbiega od ustaleń obowiązującego Studium. W związku z powyższym wyznaczono 1</w:t>
      </w:r>
      <w:r>
        <w:rPr>
          <w:szCs w:val="20"/>
        </w:rPr>
        <w:t>6</w:t>
      </w:r>
      <w:r>
        <w:rPr>
          <w:szCs w:val="20"/>
        </w:rPr>
        <w:t> obszarów wymagających zmiany ustaleń obowiązującego Studium.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Uzasadnienie do poszczególnych zmian kierunków w zagospodarowaniu obszarów objętych zmianą Studium przedstawia się następująco: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Obszar 1 i 2 - tereny o symbolach: 3.2.1/8.M1 i 3.2.1/9.M1 </w:t>
      </w:r>
      <w:r>
        <w:rPr>
          <w:szCs w:val="20"/>
        </w:rPr>
        <w:t>–</w:t>
      </w:r>
      <w:r>
        <w:rPr>
          <w:szCs w:val="20"/>
        </w:rPr>
        <w:t xml:space="preserve"> zmiana przeznaczenia wynika z potrzeby realizacji zabudowy mieszkaniowej jednorodzinnej na tych terenach.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Obszar 3 - teren o symbolu: 5.1.D3.KDL </w:t>
      </w:r>
      <w:r>
        <w:rPr>
          <w:szCs w:val="20"/>
        </w:rPr>
        <w:t>–</w:t>
      </w:r>
      <w:r>
        <w:rPr>
          <w:szCs w:val="20"/>
        </w:rPr>
        <w:t xml:space="preserve"> zmiana przeznaczenia wynika z istniejących uwarunkowań terenowych tj. brak miejsca na realizację pierwotnie planowanej drogi klasy zbiorczej.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4 - tereny o symbolach: 1.3.1/4.Z3 i 1.3.1/5.Z6 – zmiana przeznaczenia wynika z potrzeby dostosowania zapisów Studium do aktualnego zagospodarowania i użytkowania terenu w tym istniejących Rodzinnych Ogrodów Działkowych.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5 - teren o symbolu: 2.2.1/2.L1 – zmiana podyktowana jest dostosowaniem do aktualnej ewidencji gruntów, gdzie obszar ten ma użytek Ls – lasy i grunty leśne, ponadto nie ma zapotrzebowania na tereny mieszkaniowe w tym obszarze.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6 - teren o symbolu: 4.2.1/2.U3 – zmiana przeznaczenia wynika z potrzeby dostosowania zapisów Studium o możliwość rozmieszczenia urządzeń wytwarzających energię z odnawialnych źródeł energii o mocy przekraczającej 100 kW, z wyłączeniem urządzeń wytwarzających energię z odnawialnych źródeł energii wykorzystujących energię wiatru.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7 - teren o symbolu: 13.1.1/14.Z6 – zmiana przeznaczenia wynika z potrzeby dostosowania zapisów Studium do aktualnego zagospodarowania i użytkowania terenu, w tym istniejących Rodzinnych Ogrodów Działkowych, ponadto nie ma potrzeby utrzymywania w tym obszarze kierunku zagospodarowania jakim jest zabudowa usługowa.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8 - teren o symbolu: 13.1.3/20.Z6 – zmiana przeznaczenia wynika z potrzeby dostosowania zapisów Studium do aktualnego zagospodarowania i użytkowania terenu, w tym istniejących Rodzinnych Ogrodów Działkowych, ponadto nie ma potrzeby utrzymywania w tym obszarze kierunku zagospodarowania jakim jest zabudowa mieszkaniowa.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9 - teren o symbolu: 13.1.4/10.U1 – zmiana przeznaczenia wynika z potrzeby realizacji nowych zamierzeń inwestycyjnych – w tym działań rewitalizacyjnych z dopuszczeniem możliwości rozmieszczenia urządzeń wytwarzających energię z odnawialnych źródeł energii o mocy przekraczającej 100 kW, z wyłączeniem urządzeń wytwarzających energię z odnawialnych źródeł energii wykorzystujących energię wiatru.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10 - teren o symbolu: 13.2.6/17.U5 – zmiana przeznaczenia wynika z aktualnego zagospodarowania terenu oraz z potrzeby rozwoju istniejących na tym terenie firm usługowo-produkcyjnych z dopuszczeniem możliwości rozmieszczenia urządzeń wytwarzających energię z odnawialnych źródeł energii o mocy przekraczającej 100 kW, z wyłączeniem urządzeń wytwarzających energię z odnawialnych źródeł energii wykorzystujących energię wiatru. Ponadto nie ma potrzeby utrzymywania w tym obszarze kierunku zagospodarowania jakim jest zabudowa mieszkaniowa. Zabudowa mieszkaniowa występuje tu tylko jako zabudowa istniejąca –  wydzielono teren o symbolu  13.2.6/16.M2. W obszarze tym w wyniku potrzeb inwestycyjnych wydzielono również teren o symbolu 13.2.6/2.U1.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11 - teren o symbolu: 13.2.6/18.Z6 – zmiana przeznaczenia wynika z potrzeby dostosowania zapisów Studium do aktualnego zagospodarowania i użytkowania terenu w tym istniejących Rodzinnych Ogrodów Działkowych, ponadto nie ma potrzeby utrzymywania w tym obszarze kierunku zagospodarowania jakim jest zabudowa mieszkaniowa.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12 - teren o symbolu: 10.1.3/14.P1 – zmiana przeznaczenia wynika z potrzeby realizacji nowych zamierzeń inwestycyjnych z dopuszczeniem możliwości rozmieszczenia urządzeń wytwarzających energię z odnawialnych źródeł energii o mocy przekraczającej 100 kW, z wyłączeniem urządzeń wytwarzających energię z odnawialnych źródeł energii wykorzystujących energię wiatru.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13 - teren o symbolu: 9.3.4/8.M1 – zmiana przeznaczenia wynika z potrzeby realizacji zabudowy mieszkaniowej jednorodzinnej, ponadto dla większej części terenu wydano szereg decyzji o warunkach zabudowy i zagospodarowania terenu dla zabudowy mieszkaniowej jednorodzinnej. Aktualnie jest  realizowany nowy układ drogowy do obsługi terenu. W obszarze tym wydzielono również teren o symbolu 9.4.1/2.Z5, jako potrzebę utrzymania powiązań terenów zielonych oraz istniejącą drogę powiatową o symbolu 3.7.D2.KDZ.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14 - teren o symbolu: 5.2.3/13.P2 – zmiana przeznaczenia wynika z potrzeby realizacji nowych zamierzeń inwestycyjnych z dopuszczeniem możliwości rozmieszczenia urządzeń wytwarzających energię z odnawialnych źródeł energii o mocy przekraczającej 100 kW, z wyłączeniem urządzeń wytwarzających energię z odnawialnych źródeł energii wykorzystujących energię wiatru. W obszarze tym wydzielono również teren o symbolu 5.2.3/3.Z3 – tereny zieleni pozostałej, jako potrzebę utrzymania strefy izolacyjnej dla sąsiedniej zabudowy mieszkaniowej.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15 - teren o symbolu: 10.2.1/7.U1 – zmiana przeznaczenia wynika z potrzeby realizacji nowych zamierzeń inwestycyjnych w tym rozwoju firm usługowych.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Obszar 16 - teren o symbolu: 7.1.1/3.Z6 – zmiana przeznaczenia wynika z potrzeby dostosowania zapisów Studium do aktualnego zagospodarowania i użytkowania terenu, w tym istniejących Rodzinnych Ogrodów Działkowych, ponadto nie ma potrzeby utrzymywania w tym obszarze kierunku zagospodarowania jakim jest zabudowa usługowa.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Dla przedmiotowej zmiany zostały uwzględnione uwarunkowania zgodnie z art. 10 ust. 1 ustawy z dnia 27 marca 2003 r. o planowaniu i zagospodarowaniu przestrzennym (Dz. U. z 2020 r. poz. 293 z późn. zm.) w tym: bilans terenów przeznaczonych pod zabudowę; zapotrzebowanie na nowe obszary pod zabudowę w gminie na podstawie prognozy demograficznej; chłonność położonych na terenie gminy obszarów o w pełni wykształconej zwartej strukturze funkcjonalno-przestrzennej; możliwości finansowania przez gminę wykonania sieci komunikacyjnych i infrastruktury technicznej oraz społecznej, służących realizacji zadań własnych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Dla przedmiotowej zmiany uwzględniono wyniki przeprowadzonych analiz ekonomicznych, środowiskowych i społecznych, prognozy demograficznej oraz bilansu terenów przeznaczonych pod zabudowę.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Procedura formalno-prawna została przeprowadzona w trybie ustawy z dnia 27 marca 2003 r. o planowaniu i zagospodarowaniu przestrzennym, w szczególności na podstawie art. 11 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ustawą z dnia 3 października 2008 r. o udostępnianiu informacji o środowisku i jego ochronie, udziale społeczeństwa w ochronie środowiska oraz o ocenach oddziaływania na środowisko (Dz. U. z 2020 r. poz. 283, z późn. zm.), przeprowadzono strategiczną ocenę oddziaływania na środowisko dla przedmiotowej zmiany Studium.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11 pkt 12 ustawy o planowaniu i zagospodarowaniu przestrzennym, przedstawienie niniejszego projektu uchwały Radzie Miejskiej do uchwalenia kończy procedurę planistyczną dotyczącą niniejszej zmiany Studium uwarunkowań i kierunków zagospodarowania przestrzennego Gminy Bytom.</w:t>
      </w:r>
    </w:p>
    <w:sectPr>
      <w:footerReference w:type="default" r:id="rId52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5A16E09F-FD66-42CE-B5A4-DFADA7EA1F5C.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1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3.2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3.3.pdf" TargetMode="External" /><Relationship Id="rId15" Type="http://schemas.openxmlformats.org/officeDocument/2006/relationships/footer" Target="footer7.xml" /><Relationship Id="rId16" Type="http://schemas.openxmlformats.org/officeDocument/2006/relationships/hyperlink" Target="Zalacznik3.4.pdf" TargetMode="External" /><Relationship Id="rId17" Type="http://schemas.openxmlformats.org/officeDocument/2006/relationships/footer" Target="footer8.xml" /><Relationship Id="rId18" Type="http://schemas.openxmlformats.org/officeDocument/2006/relationships/hyperlink" Target="Zalacznik3.5.pdf" TargetMode="Externa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hyperlink" Target="Zalacznik3.6.pdf" TargetMode="External" /><Relationship Id="rId21" Type="http://schemas.openxmlformats.org/officeDocument/2006/relationships/footer" Target="footer10.xml" /><Relationship Id="rId22" Type="http://schemas.openxmlformats.org/officeDocument/2006/relationships/hyperlink" Target="Zalacznik3.7.pdf" TargetMode="External" /><Relationship Id="rId23" Type="http://schemas.openxmlformats.org/officeDocument/2006/relationships/footer" Target="footer11.xml" /><Relationship Id="rId24" Type="http://schemas.openxmlformats.org/officeDocument/2006/relationships/hyperlink" Target="Zalacznik3.8.pdf" TargetMode="External" /><Relationship Id="rId25" Type="http://schemas.openxmlformats.org/officeDocument/2006/relationships/footer" Target="footer12.xml" /><Relationship Id="rId26" Type="http://schemas.openxmlformats.org/officeDocument/2006/relationships/hyperlink" Target="Zalacznik3.9.pdf" TargetMode="External" /><Relationship Id="rId27" Type="http://schemas.openxmlformats.org/officeDocument/2006/relationships/footer" Target="footer13.xml" /><Relationship Id="rId28" Type="http://schemas.openxmlformats.org/officeDocument/2006/relationships/hyperlink" Target="Zalacznik3.10.pdf" TargetMode="External" /><Relationship Id="rId29" Type="http://schemas.openxmlformats.org/officeDocument/2006/relationships/footer" Target="footer14.xml" /><Relationship Id="rId3" Type="http://schemas.openxmlformats.org/officeDocument/2006/relationships/fontTable" Target="fontTable.xml" /><Relationship Id="rId30" Type="http://schemas.openxmlformats.org/officeDocument/2006/relationships/hyperlink" Target="Zalacznik3.11.pdf" TargetMode="External" /><Relationship Id="rId31" Type="http://schemas.openxmlformats.org/officeDocument/2006/relationships/footer" Target="footer15.xml" /><Relationship Id="rId32" Type="http://schemas.openxmlformats.org/officeDocument/2006/relationships/hyperlink" Target="Zalacznik3.12.pdf" TargetMode="External" /><Relationship Id="rId33" Type="http://schemas.openxmlformats.org/officeDocument/2006/relationships/footer" Target="footer16.xml" /><Relationship Id="rId34" Type="http://schemas.openxmlformats.org/officeDocument/2006/relationships/hyperlink" Target="Zalacznik3.13.pdf" TargetMode="External" /><Relationship Id="rId35" Type="http://schemas.openxmlformats.org/officeDocument/2006/relationships/footer" Target="footer17.xml" /><Relationship Id="rId36" Type="http://schemas.openxmlformats.org/officeDocument/2006/relationships/hyperlink" Target="Zalacznik3.14.pdf" TargetMode="External" /><Relationship Id="rId37" Type="http://schemas.openxmlformats.org/officeDocument/2006/relationships/footer" Target="footer18.xml" /><Relationship Id="rId38" Type="http://schemas.openxmlformats.org/officeDocument/2006/relationships/hyperlink" Target="Zalacznik3.15.pdf" TargetMode="External" /><Relationship Id="rId39" Type="http://schemas.openxmlformats.org/officeDocument/2006/relationships/footer" Target="footer19.xml" /><Relationship Id="rId4" Type="http://schemas.openxmlformats.org/officeDocument/2006/relationships/footer" Target="footer1.xml" /><Relationship Id="rId40" Type="http://schemas.openxmlformats.org/officeDocument/2006/relationships/hyperlink" Target="Zalacznik4.1.pdf" TargetMode="External" /><Relationship Id="rId41" Type="http://schemas.openxmlformats.org/officeDocument/2006/relationships/footer" Target="footer20.xml" /><Relationship Id="rId42" Type="http://schemas.openxmlformats.org/officeDocument/2006/relationships/hyperlink" Target="Zalacznik4.2.pdf" TargetMode="External" /><Relationship Id="rId43" Type="http://schemas.openxmlformats.org/officeDocument/2006/relationships/footer" Target="footer21.xml" /><Relationship Id="rId44" Type="http://schemas.openxmlformats.org/officeDocument/2006/relationships/hyperlink" Target="Zalacznik4.3.pdf" TargetMode="External" /><Relationship Id="rId45" Type="http://schemas.openxmlformats.org/officeDocument/2006/relationships/footer" Target="footer22.xml" /><Relationship Id="rId46" Type="http://schemas.openxmlformats.org/officeDocument/2006/relationships/hyperlink" Target="Zalacznik4.4.pdf" TargetMode="External" /><Relationship Id="rId47" Type="http://schemas.openxmlformats.org/officeDocument/2006/relationships/footer" Target="footer23.xml" /><Relationship Id="rId48" Type="http://schemas.openxmlformats.org/officeDocument/2006/relationships/hyperlink" Target="Zalacznik4.5.pdf" TargetMode="External" /><Relationship Id="rId49" Type="http://schemas.openxmlformats.org/officeDocument/2006/relationships/footer" Target="footer24.xml" /><Relationship Id="rId5" Type="http://schemas.openxmlformats.org/officeDocument/2006/relationships/footer" Target="footer2.xml" /><Relationship Id="rId50" Type="http://schemas.openxmlformats.org/officeDocument/2006/relationships/hyperlink" Target="Zalacznik6.xml" TargetMode="External" /><Relationship Id="rId51" Type="http://schemas.openxmlformats.org/officeDocument/2006/relationships/footer" Target="footer25.xml" /><Relationship Id="rId52" Type="http://schemas.openxmlformats.org/officeDocument/2006/relationships/footer" Target="footer26.xml" /><Relationship Id="rId53" Type="http://schemas.openxmlformats.org/officeDocument/2006/relationships/theme" Target="theme/theme1.xml" /><Relationship Id="rId54" Type="http://schemas.openxmlformats.org/officeDocument/2006/relationships/styles" Target="styles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XL/549/21 z dnia 22 lutego 2021 r.</dc:title>
  <dc:subject>w sprawie uchwalenia zmiany Studium uwarunkowań i^kierunków zagospodarowania przestrzennego Gminy Bytom, przyjętego uchwałą nr XVI/204/11 Rady Miejskiej w^Bytomiu z^dnia 24^sierpnia 2011^r., zmienionego uchwałą nr^X/120/13 Rady Miejskiej w^Bytomiu z^dnia 25^lutego 2013^r., uchwałą nr^XXXVIII/485/17 Rady Miejskiej w^Bytomiu z^dnia 27^lutego 2017^r.,^uchwałą nr^LXI/814/18 Rady Miejskiej w^Bytomiu z^dnia 26^marca 2018^r., i^uchwałą nr LXIV/839/18 Rady Miejskiej w^Bytomiu z^dnia 28^maja 2018^r. oraz uchwałą nr XXXII/463/20  Rady^Miejskiej w^Bytomiu z^dnia 28^września 2020^ r.</dc:subject>
  <dc:creator>masocha</dc:creator>
  <cp:lastModifiedBy>masocha</cp:lastModifiedBy>
  <cp:revision>1</cp:revision>
  <dcterms:created xsi:type="dcterms:W3CDTF">2021-02-24T10:08:35Z</dcterms:created>
  <dcterms:modified xsi:type="dcterms:W3CDTF">2021-02-24T10:08:35Z</dcterms:modified>
  <cp:category>Akt prawny</cp:category>
</cp:coreProperties>
</file>