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w Bytomiu przy ul. Brzezińskiej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 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 344)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części nieruchomości położonej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Brzezińskiej, stanowiącej własność Skarbu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użytkowaniu wieczystym Gminy Bytom, obejmującej część działki gruntu nr 132/80 (karta mapy 39, obręb Bytom),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1245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zabudowanej budynkami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powierzchni 541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 SRP Factory Sp.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o.o.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prowadzenie działalności gospodarczej w zakresie kowalstwa artystycznego.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zostanie zawarta na okres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Wnioskodawca zainteresowany  jest zawarciem umowy dzierżawy części nieruchomości położonej w Bytomiu przy ul. Brzezińskiej, stanowiącej własność Skarbu Państwa w użytkowaniu wieczystym Gminy Bytom, obejmującej część działki gruntu nr 132/80 (karta mapy 39, obręb Bytom), o pow. 1245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zabudowanej budynkami o łącznej powierzchni 541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z przeznaczeniem na prowadzenie</w:t>
      </w:r>
      <w:r>
        <w:rPr>
          <w:rFonts w:eastAsia="Times New Roman" w:cs="Times New Roman"/>
          <w:color w:val="000000"/>
          <w:szCs w:val="20"/>
          <w:u w:color="000000"/>
        </w:rPr>
        <w:t xml:space="preserve"> działalności gospodarczej w zakresie kowalstwa artystycznego. Z uwagi na fakt, że przystosowanie budynku oraz gruntu do niego przyległego do nowej funkcji wymaga dużych nakładów finansowych, zasadnym jest zawarcie umowy dzierżawy na okres dłuższy niż trzy lata.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bezpośrednim sąsiedztwie wydzierżawiona została już przez Gminę Bytom część nieruchomości z przeznaczeniem na działalność artystyczną, co powoduje, iż cel umowy dzierżawy wskazany w niniejszej uchwale stanowi kontynuację sposobu zagospodarowania części tego obszaru.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Odstąpienie od przetargowego trybu zawarcia umowy dzierżawy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części </w:t>
      </w:r>
      <w:r>
        <w:rPr>
          <w:rFonts w:eastAsia="Times New Roman" w:cs="Times New Roman"/>
          <w:color w:val="000000"/>
          <w:szCs w:val="20"/>
          <w:u w:color="000000"/>
        </w:rPr>
        <w:t>nieruchomości</w:t>
      </w:r>
      <w:r>
        <w:rPr>
          <w:rFonts w:eastAsia="Times New Roman" w:cs="Times New Roman"/>
          <w:color w:val="000000"/>
          <w:szCs w:val="20"/>
          <w:u w:color="000000"/>
        </w:rPr>
        <w:t xml:space="preserve"> stanowiącej własność Skarbu Państwa w użytkowaniu wieczystym Gminy Bytom na okres dłuższy niż trzy lata, zgodnie z przywołanym w uchwale przepisem ustawy o gospodarc</w:t>
      </w:r>
      <w:r>
        <w:rPr>
          <w:rFonts w:eastAsia="Times New Roman" w:cs="Times New Roman"/>
          <w:color w:val="000000"/>
          <w:szCs w:val="20"/>
          <w:u w:color="000000"/>
        </w:rPr>
        <w:t>e nieruchomościami, wymaga uzyskania zgody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340AAAA8-592A-4717-B52F-3E5471D4FC1B.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340AAAA8-592A-4717-B52F-3E5471D4FC1B.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położonej w^Bytomiu przy ul. Brzezińskiej</dc:subject>
  <dc:creator>jpieczyk</dc:creator>
  <cp:lastModifiedBy>jpieczyk</cp:lastModifiedBy>
  <cp:revision>1</cp:revision>
  <dcterms:created xsi:type="dcterms:W3CDTF">2023-04-07T11:51:28Z</dcterms:created>
  <dcterms:modified xsi:type="dcterms:W3CDTF">2023-04-07T11:51:28Z</dcterms:modified>
  <cp:category>Akt prawny</cp:category>
</cp:coreProperties>
</file>